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bidi w:val="0"/>
        <w:spacing w:line="240" w:lineRule="auto"/>
        <w:jc w:val="center"/>
        <w:outlineLvl w:val="0"/>
        <w:rPr>
          <w:rFonts w:hint="eastAsia" w:ascii="楷体" w:hAnsi="楷体" w:eastAsia="楷体" w:cs="楷体"/>
          <w:b/>
          <w:color w:val="auto"/>
          <w:sz w:val="28"/>
          <w:szCs w:val="28"/>
          <w:highlight w:val="none"/>
          <w:lang w:eastAsia="zh-CN"/>
        </w:rPr>
      </w:pPr>
      <w:bookmarkStart w:id="0" w:name="_Hlk168577216"/>
      <w:r>
        <w:rPr>
          <w:rFonts w:hint="eastAsia" w:ascii="楷体" w:hAnsi="楷体" w:eastAsia="楷体" w:cs="楷体"/>
          <w:b/>
          <w:color w:val="auto"/>
          <w:sz w:val="28"/>
          <w:szCs w:val="28"/>
          <w:highlight w:val="none"/>
        </w:rPr>
        <w:t>“</w:t>
      </w:r>
      <w:r>
        <w:rPr>
          <w:rFonts w:hint="eastAsia" w:ascii="楷体" w:hAnsi="楷体" w:eastAsia="楷体" w:cs="楷体"/>
          <w:b/>
          <w:color w:val="auto"/>
          <w:sz w:val="28"/>
          <w:szCs w:val="28"/>
          <w:highlight w:val="none"/>
          <w:lang w:val="en-US" w:eastAsia="zh-CN"/>
        </w:rPr>
        <w:t>苏银理财恒源封闭债权385期优选2年</w:t>
      </w:r>
      <w:r>
        <w:rPr>
          <w:rFonts w:hint="eastAsia" w:ascii="楷体" w:hAnsi="楷体" w:eastAsia="楷体" w:cs="楷体"/>
          <w:b/>
          <w:color w:val="auto"/>
          <w:sz w:val="28"/>
          <w:szCs w:val="28"/>
          <w:highlight w:val="none"/>
        </w:rPr>
        <w:t>”理财产品</w:t>
      </w:r>
      <w:r>
        <w:rPr>
          <w:rFonts w:hint="eastAsia" w:ascii="楷体" w:hAnsi="楷体" w:eastAsia="楷体" w:cs="楷体"/>
          <w:b/>
          <w:color w:val="auto"/>
          <w:sz w:val="28"/>
          <w:szCs w:val="28"/>
          <w:highlight w:val="none"/>
          <w:lang w:val="en-US" w:eastAsia="zh-CN"/>
        </w:rPr>
        <w:t>说明书</w:t>
      </w:r>
    </w:p>
    <w:p>
      <w:pPr>
        <w:pStyle w:val="25"/>
        <w:keepNext w:val="0"/>
        <w:keepLines w:val="0"/>
        <w:pageBreakBefore w:val="0"/>
        <w:bidi w:val="0"/>
        <w:spacing w:before="0" w:beforeAutospacing="0" w:after="0" w:afterAutospacing="0" w:line="310" w:lineRule="exact"/>
        <w:jc w:val="center"/>
        <w:rPr>
          <w:rFonts w:hint="eastAsia" w:ascii="楷体" w:hAnsi="楷体" w:eastAsia="楷体" w:cs="宋体"/>
          <w:b/>
          <w:color w:val="auto"/>
          <w:sz w:val="24"/>
          <w:szCs w:val="24"/>
          <w:highlight w:val="none"/>
        </w:rPr>
      </w:pPr>
      <w:r>
        <w:rPr>
          <w:rFonts w:hint="eastAsia" w:ascii="楷体" w:hAnsi="楷体" w:eastAsia="楷体" w:cs="Times New Roman"/>
          <w:sz w:val="21"/>
          <w:szCs w:val="21"/>
          <w:highlight w:val="none"/>
          <w:lang w:val="en-US" w:eastAsia="zh-CN" w:bidi="ar-SA"/>
        </w:rPr>
        <w:t>（</w:t>
      </w:r>
      <w:r>
        <w:rPr>
          <w:rFonts w:hint="eastAsia" w:ascii="楷体" w:hAnsi="楷体" w:eastAsia="楷体" w:cs="Times New Roman"/>
          <w:b w:val="0"/>
          <w:bCs w:val="0"/>
          <w:sz w:val="21"/>
          <w:szCs w:val="21"/>
          <w:highlight w:val="none"/>
          <w:lang w:val="en-US" w:eastAsia="zh-CN" w:bidi="ar-SA"/>
        </w:rPr>
        <w:t>2026年9月版</w:t>
      </w:r>
      <w:r>
        <w:rPr>
          <w:rFonts w:hint="eastAsia" w:ascii="楷体" w:hAnsi="楷体" w:eastAsia="楷体" w:cs="Times New Roman"/>
          <w:sz w:val="21"/>
          <w:szCs w:val="21"/>
          <w:highlight w:val="none"/>
          <w:lang w:val="en-US" w:eastAsia="zh-CN" w:bidi="ar-SA"/>
        </w:rPr>
        <w:t>）</w:t>
      </w:r>
    </w:p>
    <w:p>
      <w:pPr>
        <w:keepNext w:val="0"/>
        <w:keepLines w:val="0"/>
        <w:pageBreakBefore w:val="0"/>
        <w:bidi w:val="0"/>
        <w:spacing w:line="240" w:lineRule="auto"/>
        <w:jc w:val="center"/>
        <w:rPr>
          <w:rFonts w:hint="eastAsia" w:ascii="楷体" w:hAnsi="楷体" w:eastAsia="楷体" w:cs="楷体"/>
          <w:b/>
          <w:color w:val="auto"/>
          <w:sz w:val="24"/>
          <w:szCs w:val="24"/>
          <w:highlight w:val="none"/>
        </w:rPr>
      </w:pPr>
      <w:r>
        <w:rPr>
          <w:rFonts w:hint="eastAsia" w:ascii="楷体" w:hAnsi="楷体" w:eastAsia="楷体" w:cs="楷体"/>
          <w:b/>
          <w:color w:val="auto"/>
          <w:sz w:val="24"/>
          <w:szCs w:val="24"/>
          <w:highlight w:val="none"/>
        </w:rPr>
        <w:t>理财非存款、产品有风险、投资须谨慎</w:t>
      </w:r>
    </w:p>
    <w:p>
      <w:pPr>
        <w:keepNext w:val="0"/>
        <w:keepLines w:val="0"/>
        <w:pageBreakBefore w:val="0"/>
        <w:widowControl w:val="0"/>
        <w:bidi w:val="0"/>
        <w:spacing w:before="157" w:line="240" w:lineRule="auto"/>
        <w:jc w:val="center"/>
        <w:rPr>
          <w:rFonts w:hint="eastAsia" w:ascii="楷体" w:hAnsi="楷体" w:eastAsia="楷体" w:cs="楷体"/>
          <w:b/>
          <w:color w:val="auto"/>
          <w:sz w:val="24"/>
          <w:szCs w:val="24"/>
          <w:highlight w:val="none"/>
          <w:lang w:val="en-US" w:eastAsia="zh-CN"/>
        </w:rPr>
      </w:pPr>
      <w:r>
        <w:rPr>
          <w:rFonts w:hint="eastAsia" w:ascii="楷体" w:hAnsi="楷体" w:eastAsia="楷体" w:cs="楷体"/>
          <w:b/>
          <w:color w:val="auto"/>
          <w:sz w:val="24"/>
          <w:szCs w:val="24"/>
          <w:highlight w:val="none"/>
          <w:lang w:val="en-US" w:eastAsia="zh-CN"/>
        </w:rPr>
        <w:t>产品登记编码：Z7003126000404</w:t>
      </w:r>
    </w:p>
    <w:p>
      <w:pPr>
        <w:pStyle w:val="28"/>
        <w:keepNext w:val="0"/>
        <w:keepLines w:val="0"/>
        <w:pageBreakBefore w:val="0"/>
        <w:bidi w:val="0"/>
        <w:spacing w:line="240" w:lineRule="auto"/>
        <w:ind w:left="0" w:firstLine="0"/>
        <w:jc w:val="center"/>
        <w:rPr>
          <w:rFonts w:hint="default" w:ascii="楷体" w:hAnsi="楷体" w:eastAsia="楷体" w:cs="楷体"/>
          <w:b/>
          <w:color w:val="auto"/>
          <w:sz w:val="24"/>
          <w:szCs w:val="24"/>
          <w:highlight w:val="none"/>
          <w:lang w:val="en-US" w:eastAsia="zh-CN" w:bidi="ar-SA"/>
        </w:rPr>
      </w:pPr>
      <w:r>
        <w:rPr>
          <w:rFonts w:hint="eastAsia" w:ascii="楷体" w:hAnsi="楷体" w:eastAsia="楷体" w:cs="楷体"/>
          <w:b/>
          <w:color w:val="auto"/>
          <w:sz w:val="24"/>
          <w:szCs w:val="24"/>
          <w:highlight w:val="none"/>
          <w:lang w:val="en-US" w:eastAsia="zh-CN" w:bidi="ar-SA"/>
        </w:rPr>
        <w:t>(投资者可依据该登记编码在中国理财网www.chinawealth.com.cn查询产品信息）</w:t>
      </w:r>
    </w:p>
    <w:p>
      <w:pPr>
        <w:keepNext w:val="0"/>
        <w:keepLines w:val="0"/>
        <w:pageBreakBefore w:val="0"/>
        <w:bidi w:val="0"/>
        <w:spacing w:line="240" w:lineRule="auto"/>
        <w:rPr>
          <w:rFonts w:hint="eastAsia" w:ascii="楷体" w:hAnsi="楷体" w:eastAsia="楷体" w:cs="楷体"/>
          <w:b/>
          <w:color w:val="auto"/>
          <w:sz w:val="21"/>
          <w:szCs w:val="21"/>
          <w:highlight w:val="none"/>
        </w:rPr>
      </w:pPr>
    </w:p>
    <w:p>
      <w:pPr>
        <w:keepNext w:val="0"/>
        <w:keepLines w:val="0"/>
        <w:pageBreakBefore w:val="0"/>
        <w:bidi w:val="0"/>
        <w:spacing w:line="240" w:lineRule="auto"/>
        <w:outlineLvl w:val="1"/>
        <w:rPr>
          <w:rFonts w:hint="eastAsia" w:ascii="楷体" w:hAnsi="楷体" w:eastAsia="楷体" w:cs="楷体"/>
          <w:b/>
          <w:color w:val="auto"/>
          <w:sz w:val="21"/>
          <w:szCs w:val="21"/>
          <w:highlight w:val="none"/>
        </w:rPr>
      </w:pPr>
      <w:r>
        <w:rPr>
          <w:rFonts w:hint="eastAsia" w:ascii="楷体" w:hAnsi="楷体" w:eastAsia="楷体" w:cs="楷体"/>
          <w:b/>
          <w:color w:val="auto"/>
          <w:sz w:val="21"/>
          <w:szCs w:val="21"/>
          <w:highlight w:val="none"/>
        </w:rPr>
        <w:t>重要须知</w:t>
      </w:r>
    </w:p>
    <w:p>
      <w:pPr>
        <w:numPr>
          <w:ilvl w:val="0"/>
          <w:numId w:val="1"/>
        </w:numPr>
        <w:ind w:left="420" w:hanging="420"/>
        <w:rPr>
          <w:rFonts w:hint="eastAsia" w:ascii="楷体" w:hAnsi="楷体" w:eastAsia="楷体"/>
          <w:sz w:val="21"/>
          <w:szCs w:val="21"/>
          <w:highlight w:val="none"/>
        </w:rPr>
      </w:pPr>
      <w:r>
        <w:rPr>
          <w:rFonts w:hint="eastAsia" w:ascii="楷体" w:hAnsi="楷体" w:eastAsia="楷体"/>
          <w:sz w:val="21"/>
          <w:szCs w:val="21"/>
          <w:highlight w:val="none"/>
        </w:rPr>
        <w:t>在购买本理财产品前，投资者应确保自己完全理解该项投资的性质和所涉及的风险，详细了解和审慎评估该理财产品的投资范围、风险类型等基本情况，在慎重考虑后自行决定购买与自身风险承受能力和资产管理需求匹配的理财产品。</w:t>
      </w:r>
    </w:p>
    <w:p>
      <w:pPr>
        <w:numPr>
          <w:ilvl w:val="0"/>
          <w:numId w:val="1"/>
        </w:numPr>
        <w:ind w:left="420" w:hanging="420"/>
        <w:rPr>
          <w:rFonts w:hint="eastAsia" w:ascii="楷体" w:hAnsi="楷体" w:eastAsia="楷体"/>
          <w:b/>
          <w:sz w:val="21"/>
          <w:szCs w:val="21"/>
          <w:highlight w:val="none"/>
          <w:u w:val="single"/>
        </w:rPr>
      </w:pPr>
      <w:r>
        <w:rPr>
          <w:rFonts w:hint="eastAsia" w:ascii="楷体" w:hAnsi="楷体" w:eastAsia="楷体"/>
          <w:b/>
          <w:sz w:val="21"/>
          <w:szCs w:val="21"/>
          <w:highlight w:val="none"/>
          <w:u w:val="single"/>
        </w:rPr>
        <w:t>本理财产品不保证本金及收益，您的本金可能因市场变动或者交易违约等事项而蒙受相应损失，投资者应充分认识投资风险，谨慎投资。</w:t>
      </w:r>
    </w:p>
    <w:p>
      <w:pPr>
        <w:numPr>
          <w:ilvl w:val="0"/>
          <w:numId w:val="1"/>
        </w:numPr>
        <w:ind w:left="420" w:hanging="420"/>
        <w:rPr>
          <w:rFonts w:hint="eastAsia" w:ascii="楷体" w:hAnsi="楷体" w:eastAsia="楷体"/>
          <w:b/>
          <w:sz w:val="21"/>
          <w:szCs w:val="21"/>
          <w:highlight w:val="none"/>
          <w:u w:val="single"/>
        </w:rPr>
      </w:pPr>
      <w:r>
        <w:rPr>
          <w:rFonts w:hint="eastAsia" w:ascii="楷体" w:hAnsi="楷体" w:eastAsia="楷体"/>
          <w:b/>
          <w:sz w:val="21"/>
          <w:szCs w:val="21"/>
          <w:highlight w:val="none"/>
          <w:u w:val="single"/>
        </w:rPr>
        <w:t>本理财产品过往业绩不代表其未来表现，不等于理财产品实际收益，投资须谨慎；理财非存款、产品有风险、投资须谨慎。</w:t>
      </w:r>
    </w:p>
    <w:p>
      <w:pPr>
        <w:numPr>
          <w:ilvl w:val="0"/>
          <w:numId w:val="1"/>
        </w:numPr>
        <w:ind w:left="420" w:hanging="420"/>
        <w:rPr>
          <w:rFonts w:hint="eastAsia" w:ascii="楷体" w:hAnsi="楷体" w:eastAsia="楷体"/>
          <w:b/>
          <w:sz w:val="21"/>
          <w:szCs w:val="21"/>
          <w:highlight w:val="none"/>
          <w:u w:val="single"/>
        </w:rPr>
      </w:pPr>
      <w:r>
        <w:rPr>
          <w:rFonts w:hint="eastAsia" w:ascii="楷体" w:hAnsi="楷体" w:eastAsia="楷体"/>
          <w:b/>
          <w:sz w:val="21"/>
          <w:szCs w:val="21"/>
          <w:highlight w:val="none"/>
          <w:u w:val="single"/>
        </w:rPr>
        <w:t>本理财产品任何业绩比较基准及类似表述均属不具有法律约束力的用语。业绩比较基准为管理人基于产品性质、投资策略、过往经验等因素对产品设定的投资目标。业绩比较基准不是预期收益率，不代表产品的未来表现和实际收益，不构成对产品收益的承诺。</w:t>
      </w:r>
    </w:p>
    <w:p>
      <w:pPr>
        <w:numPr>
          <w:ilvl w:val="0"/>
          <w:numId w:val="1"/>
        </w:numPr>
        <w:ind w:left="420" w:hanging="420"/>
        <w:rPr>
          <w:rFonts w:hint="eastAsia" w:ascii="楷体" w:hAnsi="楷体" w:eastAsia="楷体"/>
          <w:sz w:val="21"/>
          <w:szCs w:val="21"/>
          <w:highlight w:val="none"/>
        </w:rPr>
      </w:pPr>
      <w:r>
        <w:rPr>
          <w:rFonts w:hint="eastAsia" w:ascii="楷体" w:hAnsi="楷体" w:eastAsia="楷体"/>
          <w:sz w:val="21"/>
          <w:szCs w:val="21"/>
          <w:highlight w:val="none"/>
        </w:rPr>
        <w:t>《风险揭示书》、《理财产品说明书》、《理财产品投资协议书》、《投资者权益须知》、《理财产品（代理）销售协议书》共同构成本理财产品完整的不可分割的理财产品合同。</w:t>
      </w:r>
    </w:p>
    <w:p>
      <w:pPr>
        <w:numPr>
          <w:ilvl w:val="0"/>
          <w:numId w:val="1"/>
        </w:numPr>
        <w:ind w:left="420" w:hanging="420"/>
        <w:rPr>
          <w:rFonts w:hint="eastAsia" w:ascii="楷体" w:hAnsi="楷体" w:eastAsia="楷体"/>
          <w:sz w:val="21"/>
          <w:szCs w:val="21"/>
          <w:highlight w:val="none"/>
        </w:rPr>
      </w:pPr>
      <w:r>
        <w:rPr>
          <w:rFonts w:hint="eastAsia" w:ascii="楷体" w:hAnsi="楷体" w:eastAsia="楷体"/>
          <w:sz w:val="21"/>
          <w:szCs w:val="21"/>
          <w:highlight w:val="none"/>
        </w:rPr>
        <w:t>本理财产品涉及的主要风险包括政策风险、信用风险、市场风险、流动性风险、管理风险、操作风险、</w:t>
      </w:r>
      <w:r>
        <w:rPr>
          <w:rFonts w:hint="eastAsia" w:ascii="楷体" w:hAnsi="楷体" w:eastAsia="楷体"/>
          <w:sz w:val="21"/>
          <w:szCs w:val="21"/>
          <w:highlight w:val="none"/>
          <w:lang w:val="en-US" w:eastAsia="zh-CN"/>
        </w:rPr>
        <w:t>理财产品不成立风险、</w:t>
      </w:r>
      <w:r>
        <w:rPr>
          <w:rFonts w:hint="eastAsia" w:ascii="楷体" w:hAnsi="楷体" w:eastAsia="楷体"/>
          <w:sz w:val="21"/>
          <w:szCs w:val="21"/>
          <w:highlight w:val="none"/>
        </w:rPr>
        <w:t>延期兑付风险、提前终止风险、信息传递风险、代销风险（如有）、不可抗力风险、关联关系及关联交易风险、特定投资标的风险等。请仔细阅读《“</w:t>
      </w:r>
      <w:r>
        <w:rPr>
          <w:rFonts w:hint="eastAsia" w:ascii="楷体" w:hAnsi="楷体" w:eastAsia="楷体"/>
          <w:sz w:val="21"/>
          <w:szCs w:val="21"/>
          <w:highlight w:val="none"/>
          <w:lang w:val="en-US" w:eastAsia="zh-CN"/>
        </w:rPr>
        <w:t>苏银理财恒源封闭债权385期优选2年</w:t>
      </w:r>
      <w:r>
        <w:rPr>
          <w:rFonts w:hint="eastAsia" w:ascii="楷体" w:hAnsi="楷体" w:eastAsia="楷体"/>
          <w:sz w:val="21"/>
          <w:szCs w:val="21"/>
          <w:highlight w:val="none"/>
        </w:rPr>
        <w:t>”理财产品风险揭示书》的“风险揭示”部分。</w:t>
      </w:r>
    </w:p>
    <w:p>
      <w:pPr>
        <w:numPr>
          <w:ilvl w:val="0"/>
          <w:numId w:val="1"/>
        </w:numPr>
        <w:ind w:left="420" w:hanging="420"/>
        <w:rPr>
          <w:rFonts w:hint="eastAsia" w:ascii="楷体" w:hAnsi="楷体" w:eastAsia="楷体"/>
          <w:b/>
          <w:sz w:val="21"/>
          <w:szCs w:val="21"/>
          <w:highlight w:val="none"/>
          <w:u w:val="single"/>
        </w:rPr>
      </w:pPr>
      <w:r>
        <w:rPr>
          <w:rFonts w:hint="eastAsia" w:ascii="楷体" w:hAnsi="楷体" w:eastAsia="楷体" w:cs="楷体"/>
          <w:b/>
          <w:sz w:val="21"/>
          <w:szCs w:val="21"/>
          <w:highlight w:val="none"/>
          <w:u w:val="single"/>
        </w:rPr>
        <w:t>本产品可设置多类份额，各类份额可能设置不同的销售对象、销售起点、业绩比较基准等，各类份额实际收取的销售服务费率、</w:t>
      </w:r>
      <w:r>
        <w:rPr>
          <w:rFonts w:hint="eastAsia" w:ascii="楷体" w:hAnsi="楷体" w:eastAsia="楷体" w:cs="楷体"/>
          <w:b/>
          <w:sz w:val="21"/>
          <w:szCs w:val="21"/>
          <w:highlight w:val="none"/>
          <w:u w:val="single"/>
          <w:lang w:val="en-US" w:eastAsia="zh-CN"/>
        </w:rPr>
        <w:t>固定</w:t>
      </w:r>
      <w:r>
        <w:rPr>
          <w:rFonts w:hint="eastAsia" w:ascii="楷体" w:hAnsi="楷体" w:eastAsia="楷体" w:cs="楷体"/>
          <w:b/>
          <w:sz w:val="21"/>
          <w:szCs w:val="21"/>
          <w:highlight w:val="none"/>
          <w:u w:val="single"/>
        </w:rPr>
        <w:t>管理费率、</w:t>
      </w:r>
      <w:r>
        <w:rPr>
          <w:rFonts w:hint="eastAsia" w:ascii="楷体" w:hAnsi="楷体" w:eastAsia="楷体" w:cs="楷体"/>
          <w:b/>
          <w:sz w:val="21"/>
          <w:szCs w:val="21"/>
          <w:highlight w:val="none"/>
          <w:u w:val="single"/>
          <w:lang w:val="en-US" w:eastAsia="zh-CN"/>
        </w:rPr>
        <w:t>浮动管理费</w:t>
      </w:r>
      <w:r>
        <w:rPr>
          <w:rFonts w:hint="eastAsia" w:ascii="楷体" w:hAnsi="楷体" w:eastAsia="楷体" w:cs="楷体"/>
          <w:b/>
          <w:sz w:val="21"/>
          <w:szCs w:val="21"/>
          <w:highlight w:val="none"/>
          <w:u w:val="single"/>
        </w:rPr>
        <w:t>（如有）等可能存在差异，投资者应根据实际情况自主选择购买。</w:t>
      </w:r>
    </w:p>
    <w:p>
      <w:pPr>
        <w:numPr>
          <w:ilvl w:val="0"/>
          <w:numId w:val="1"/>
        </w:numPr>
        <w:ind w:left="420" w:hanging="420"/>
        <w:rPr>
          <w:rFonts w:hint="eastAsia" w:ascii="楷体" w:hAnsi="楷体" w:eastAsia="楷体" w:cs="楷体"/>
          <w:sz w:val="21"/>
          <w:szCs w:val="21"/>
          <w:highlight w:val="none"/>
        </w:rPr>
      </w:pPr>
      <w:r>
        <w:rPr>
          <w:rFonts w:hint="eastAsia" w:ascii="楷体" w:hAnsi="楷体" w:eastAsia="楷体"/>
          <w:b/>
          <w:sz w:val="21"/>
          <w:szCs w:val="21"/>
          <w:highlight w:val="none"/>
          <w:u w:val="single"/>
        </w:rPr>
        <w:t>投资者不得使用贷款、发行债券等筹集的非自有资金投资本理财产品。</w:t>
      </w:r>
    </w:p>
    <w:p>
      <w:pPr>
        <w:numPr>
          <w:ilvl w:val="0"/>
          <w:numId w:val="1"/>
        </w:numPr>
        <w:ind w:left="420" w:hanging="420"/>
        <w:rPr>
          <w:rFonts w:hint="eastAsia" w:ascii="楷体" w:hAnsi="楷体" w:eastAsia="楷体"/>
          <w:sz w:val="21"/>
          <w:szCs w:val="21"/>
          <w:highlight w:val="none"/>
        </w:rPr>
      </w:pPr>
      <w:r>
        <w:rPr>
          <w:rFonts w:hint="eastAsia" w:ascii="楷体" w:hAnsi="楷体" w:eastAsia="楷体"/>
          <w:sz w:val="21"/>
          <w:szCs w:val="21"/>
          <w:highlight w:val="none"/>
        </w:rPr>
        <w:t>在本产品存续期内，如因监管政策或法律法规发生变化，在不损害投资者利益的前提下，苏银理财有权单方对本产品条款进行修订，并按本理财产品说明书约定的信息披露方式予以披露。</w:t>
      </w:r>
    </w:p>
    <w:p>
      <w:pPr>
        <w:keepNext w:val="0"/>
        <w:keepLines w:val="0"/>
        <w:pageBreakBefore w:val="0"/>
        <w:numPr>
          <w:ilvl w:val="0"/>
          <w:numId w:val="2"/>
        </w:numPr>
        <w:tabs>
          <w:tab w:val="left" w:pos="1134"/>
        </w:tabs>
        <w:bidi w:val="0"/>
        <w:spacing w:line="240" w:lineRule="auto"/>
        <w:ind w:left="0" w:firstLine="422"/>
        <w:outlineLvl w:val="1"/>
        <w:rPr>
          <w:rFonts w:hint="eastAsia" w:ascii="楷体" w:hAnsi="楷体" w:eastAsia="楷体" w:cs="楷体"/>
          <w:b/>
          <w:color w:val="auto"/>
          <w:sz w:val="21"/>
          <w:szCs w:val="21"/>
          <w:highlight w:val="none"/>
        </w:rPr>
      </w:pPr>
      <w:r>
        <w:rPr>
          <w:rFonts w:hint="eastAsia" w:ascii="楷体" w:hAnsi="楷体" w:eastAsia="楷体" w:cs="楷体"/>
          <w:b/>
          <w:color w:val="auto"/>
          <w:sz w:val="21"/>
          <w:szCs w:val="21"/>
          <w:highlight w:val="none"/>
          <w:lang w:val="en-US" w:eastAsia="zh-CN"/>
        </w:rPr>
        <w:t>关键</w:t>
      </w:r>
      <w:r>
        <w:rPr>
          <w:rFonts w:hint="eastAsia" w:ascii="楷体" w:hAnsi="楷体" w:eastAsia="楷体" w:cs="楷体"/>
          <w:b/>
          <w:color w:val="auto"/>
          <w:sz w:val="21"/>
          <w:szCs w:val="21"/>
          <w:highlight w:val="none"/>
        </w:rPr>
        <w:t>要素</w:t>
      </w:r>
    </w:p>
    <w:tbl>
      <w:tblPr>
        <w:tblStyle w:val="3"/>
        <w:tblW w:w="96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78"/>
        <w:gridCol w:w="74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656" w:type="dxa"/>
            <w:gridSpan w:val="2"/>
            <w:noWrap w:val="0"/>
            <w:vAlign w:val="center"/>
          </w:tcPr>
          <w:p>
            <w:pPr>
              <w:keepNext w:val="0"/>
              <w:keepLines w:val="0"/>
              <w:pageBreakBefore w:val="0"/>
              <w:widowControl/>
              <w:bidi w:val="0"/>
              <w:spacing w:line="240" w:lineRule="auto"/>
              <w:jc w:val="center"/>
              <w:rPr>
                <w:rFonts w:hint="eastAsia" w:ascii="楷体" w:hAnsi="楷体" w:eastAsia="楷体" w:cs="楷体"/>
                <w:color w:val="000000"/>
                <w:sz w:val="20"/>
                <w:szCs w:val="20"/>
                <w:highlight w:val="none"/>
              </w:rPr>
            </w:pPr>
            <w:r>
              <w:rPr>
                <w:rFonts w:hint="eastAsia" w:ascii="楷体" w:hAnsi="楷体" w:eastAsia="楷体" w:cs="楷体"/>
                <w:color w:val="000000"/>
                <w:sz w:val="20"/>
                <w:szCs w:val="20"/>
                <w:highlight w:val="none"/>
              </w:rPr>
              <w:t>本表格提供本理财产品的重要信息，是理财产品说明书的一部分。</w:t>
            </w:r>
            <w:r>
              <w:rPr>
                <w:rFonts w:hint="eastAsia" w:ascii="楷体" w:hAnsi="楷体" w:eastAsia="楷体" w:cs="楷体"/>
                <w:color w:val="000000"/>
                <w:sz w:val="20"/>
                <w:szCs w:val="20"/>
                <w:highlight w:val="none"/>
              </w:rPr>
              <w:br w:type="textWrapping"/>
            </w:r>
            <w:r>
              <w:rPr>
                <w:rFonts w:hint="eastAsia" w:ascii="楷体" w:hAnsi="楷体" w:eastAsia="楷体" w:cs="楷体"/>
                <w:color w:val="000000"/>
                <w:sz w:val="20"/>
                <w:szCs w:val="20"/>
                <w:highlight w:val="none"/>
              </w:rPr>
              <w:t>作出投资决定前，请阅读完整的理财产品说明书等销售文件。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656" w:type="dxa"/>
            <w:gridSpan w:val="2"/>
            <w:noWrap w:val="0"/>
            <w:vAlign w:val="center"/>
          </w:tcPr>
          <w:p>
            <w:pPr>
              <w:keepNext w:val="0"/>
              <w:keepLines w:val="0"/>
              <w:pageBreakBefore w:val="0"/>
              <w:widowControl/>
              <w:bidi w:val="0"/>
              <w:spacing w:line="240" w:lineRule="auto"/>
              <w:jc w:val="center"/>
              <w:rPr>
                <w:rFonts w:hint="eastAsia" w:ascii="楷体" w:hAnsi="楷体" w:eastAsia="楷体" w:cs="楷体"/>
                <w:b/>
                <w:bCs/>
                <w:color w:val="000000"/>
                <w:sz w:val="20"/>
                <w:szCs w:val="20"/>
                <w:highlight w:val="none"/>
              </w:rPr>
            </w:pPr>
            <w:r>
              <w:rPr>
                <w:rFonts w:hint="eastAsia" w:ascii="楷体" w:hAnsi="楷体" w:eastAsia="楷体" w:cs="楷体"/>
                <w:b/>
                <w:bCs/>
                <w:color w:val="000000"/>
                <w:sz w:val="20"/>
                <w:szCs w:val="20"/>
                <w:highlight w:val="none"/>
              </w:rPr>
              <w:t>（一）理财产品基本信息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178" w:type="dxa"/>
            <w:noWrap w:val="0"/>
            <w:vAlign w:val="center"/>
          </w:tcPr>
          <w:p>
            <w:pPr>
              <w:keepNext w:val="0"/>
              <w:keepLines w:val="0"/>
              <w:pageBreakBefore w:val="0"/>
              <w:widowControl/>
              <w:bidi w:val="0"/>
              <w:spacing w:line="240" w:lineRule="auto"/>
              <w:jc w:val="center"/>
              <w:rPr>
                <w:rFonts w:hint="eastAsia" w:ascii="楷体" w:hAnsi="楷体" w:eastAsia="楷体" w:cs="楷体"/>
                <w:b/>
                <w:bCs/>
                <w:color w:val="000000" w:themeColor="text1"/>
                <w:sz w:val="20"/>
                <w:szCs w:val="20"/>
                <w:highlight w:val="none"/>
                <w14:textFill>
                  <w14:solidFill>
                    <w14:schemeClr w14:val="tx1"/>
                  </w14:solidFill>
                </w14:textFill>
              </w:rPr>
            </w:pPr>
            <w:r>
              <w:rPr>
                <w:rFonts w:hint="eastAsia" w:ascii="楷体" w:hAnsi="楷体" w:eastAsia="楷体" w:cs="楷体"/>
                <w:b/>
                <w:bCs/>
                <w:color w:val="000000" w:themeColor="text1"/>
                <w:sz w:val="20"/>
                <w:szCs w:val="20"/>
                <w:highlight w:val="none"/>
                <w14:textFill>
                  <w14:solidFill>
                    <w14:schemeClr w14:val="tx1"/>
                  </w14:solidFill>
                </w14:textFill>
              </w:rPr>
              <w:t>产品登记编码</w:t>
            </w:r>
          </w:p>
        </w:tc>
        <w:tc>
          <w:tcPr>
            <w:tcW w:w="7478" w:type="dxa"/>
            <w:noWrap w:val="0"/>
            <w:vAlign w:val="center"/>
          </w:tcPr>
          <w:p>
            <w:pPr>
              <w:keepNext w:val="0"/>
              <w:keepLines w:val="0"/>
              <w:pageBreakBefore w:val="0"/>
              <w:widowControl/>
              <w:bidi w:val="0"/>
              <w:spacing w:line="240" w:lineRule="auto"/>
              <w:jc w:val="both"/>
              <w:rPr>
                <w:rFonts w:hint="eastAsia" w:ascii="楷体" w:hAnsi="楷体" w:eastAsia="楷体" w:cs="楷体"/>
                <w:color w:val="000000" w:themeColor="text1"/>
                <w:sz w:val="20"/>
                <w:szCs w:val="20"/>
                <w:highlight w:val="none"/>
                <w:lang w:val="en-US" w:eastAsia="zh-CN"/>
                <w14:textFill>
                  <w14:solidFill>
                    <w14:schemeClr w14:val="tx1"/>
                  </w14:solidFill>
                </w14:textFill>
              </w:rPr>
            </w:pPr>
            <w:r>
              <w:rPr>
                <w:rFonts w:hint="eastAsia" w:ascii="楷体" w:hAnsi="楷体" w:eastAsia="楷体" w:cs="楷体"/>
                <w:color w:val="000000" w:themeColor="text1"/>
                <w:sz w:val="20"/>
                <w:szCs w:val="20"/>
                <w:highlight w:val="none"/>
                <w:lang w:val="en-US" w:eastAsia="zh-CN"/>
                <w14:textFill>
                  <w14:solidFill>
                    <w14:schemeClr w14:val="tx1"/>
                  </w14:solidFill>
                </w14:textFill>
              </w:rPr>
              <w:t>Z7003126000404</w:t>
            </w:r>
          </w:p>
          <w:p>
            <w:pPr>
              <w:keepNext w:val="0"/>
              <w:keepLines w:val="0"/>
              <w:pageBreakBefore w:val="0"/>
              <w:widowControl/>
              <w:bidi w:val="0"/>
              <w:spacing w:line="240" w:lineRule="auto"/>
              <w:jc w:val="both"/>
              <w:rPr>
                <w:rFonts w:hint="eastAsia" w:ascii="楷体" w:hAnsi="楷体" w:eastAsia="楷体" w:cs="楷体"/>
                <w:color w:val="000000" w:themeColor="text1"/>
                <w:sz w:val="20"/>
                <w:szCs w:val="20"/>
                <w:highlight w:val="none"/>
                <w14:textFill>
                  <w14:solidFill>
                    <w14:schemeClr w14:val="tx1"/>
                  </w14:solidFill>
                </w14:textFill>
              </w:rPr>
            </w:pPr>
            <w:r>
              <w:rPr>
                <w:rFonts w:hint="eastAsia" w:ascii="楷体" w:hAnsi="楷体" w:eastAsia="楷体" w:cs="楷体"/>
                <w:color w:val="000000" w:themeColor="text1"/>
                <w:sz w:val="20"/>
                <w:szCs w:val="20"/>
                <w:highlight w:val="none"/>
                <w14:textFill>
                  <w14:solidFill>
                    <w14:schemeClr w14:val="tx1"/>
                  </w14:solidFill>
                </w14:textFill>
              </w:rPr>
              <w:t>（重要提示：可在中国理财网www.chinawealth.com.cn查询产品信息）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178" w:type="dxa"/>
            <w:noWrap w:val="0"/>
            <w:vAlign w:val="center"/>
          </w:tcPr>
          <w:p>
            <w:pPr>
              <w:keepNext w:val="0"/>
              <w:keepLines w:val="0"/>
              <w:pageBreakBefore w:val="0"/>
              <w:widowControl/>
              <w:bidi w:val="0"/>
              <w:spacing w:line="240" w:lineRule="auto"/>
              <w:jc w:val="center"/>
              <w:rPr>
                <w:rFonts w:hint="eastAsia" w:ascii="楷体" w:hAnsi="楷体" w:eastAsia="楷体" w:cs="楷体"/>
                <w:b/>
                <w:bCs/>
                <w:color w:val="000000" w:themeColor="text1"/>
                <w:sz w:val="20"/>
                <w:szCs w:val="20"/>
                <w:highlight w:val="none"/>
                <w14:textFill>
                  <w14:solidFill>
                    <w14:schemeClr w14:val="tx1"/>
                  </w14:solidFill>
                </w14:textFill>
              </w:rPr>
            </w:pPr>
            <w:r>
              <w:rPr>
                <w:rFonts w:hint="eastAsia" w:ascii="楷体" w:hAnsi="楷体" w:eastAsia="楷体" w:cs="楷体"/>
                <w:b/>
                <w:bCs/>
                <w:color w:val="000000" w:themeColor="text1"/>
                <w:sz w:val="20"/>
                <w:szCs w:val="20"/>
                <w:highlight w:val="none"/>
                <w14:textFill>
                  <w14:solidFill>
                    <w14:schemeClr w14:val="tx1"/>
                  </w14:solidFill>
                </w14:textFill>
              </w:rPr>
              <w:t>产品名称</w:t>
            </w:r>
          </w:p>
        </w:tc>
        <w:tc>
          <w:tcPr>
            <w:tcW w:w="7478" w:type="dxa"/>
            <w:noWrap w:val="0"/>
            <w:vAlign w:val="center"/>
          </w:tcPr>
          <w:p>
            <w:pPr>
              <w:keepNext w:val="0"/>
              <w:keepLines w:val="0"/>
              <w:pageBreakBefore w:val="0"/>
              <w:widowControl/>
              <w:bidi w:val="0"/>
              <w:spacing w:line="240" w:lineRule="auto"/>
              <w:jc w:val="both"/>
              <w:rPr>
                <w:rFonts w:hint="default" w:ascii="楷体" w:hAnsi="楷体" w:eastAsia="楷体" w:cs="楷体"/>
                <w:bCs/>
                <w:color w:val="000000" w:themeColor="text1"/>
                <w:sz w:val="20"/>
                <w:szCs w:val="20"/>
                <w:highlight w:val="none"/>
                <w:lang w:val="en-US" w:eastAsia="zh-CN"/>
                <w14:textFill>
                  <w14:solidFill>
                    <w14:schemeClr w14:val="tx1"/>
                  </w14:solidFill>
                </w14:textFill>
              </w:rPr>
            </w:pPr>
            <w:r>
              <w:rPr>
                <w:rFonts w:hint="eastAsia" w:ascii="楷体" w:hAnsi="楷体" w:eastAsia="楷体" w:cs="楷体"/>
                <w:bCs/>
                <w:color w:val="000000" w:themeColor="text1"/>
                <w:sz w:val="20"/>
                <w:szCs w:val="20"/>
                <w:highlight w:val="none"/>
                <w:lang w:val="en-US" w:eastAsia="zh-CN"/>
                <w14:textFill>
                  <w14:solidFill>
                    <w14:schemeClr w14:val="tx1"/>
                  </w14:solidFill>
                </w14:textFill>
              </w:rPr>
              <w:t>苏银理财恒源封闭债权385期优选2年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178" w:type="dxa"/>
            <w:noWrap w:val="0"/>
            <w:vAlign w:val="center"/>
          </w:tcPr>
          <w:p>
            <w:pPr>
              <w:keepNext w:val="0"/>
              <w:keepLines w:val="0"/>
              <w:pageBreakBefore w:val="0"/>
              <w:widowControl/>
              <w:bidi w:val="0"/>
              <w:spacing w:line="240" w:lineRule="auto"/>
              <w:jc w:val="center"/>
              <w:rPr>
                <w:rFonts w:hint="eastAsia" w:ascii="楷体" w:hAnsi="楷体" w:eastAsia="楷体" w:cs="楷体"/>
                <w:b/>
                <w:bCs/>
                <w:color w:val="000000" w:themeColor="text1"/>
                <w:sz w:val="20"/>
                <w:szCs w:val="20"/>
                <w:highlight w:val="none"/>
                <w14:textFill>
                  <w14:solidFill>
                    <w14:schemeClr w14:val="tx1"/>
                  </w14:solidFill>
                </w14:textFill>
              </w:rPr>
            </w:pPr>
            <w:r>
              <w:rPr>
                <w:rFonts w:hint="eastAsia" w:ascii="楷体" w:hAnsi="楷体" w:eastAsia="楷体" w:cs="楷体"/>
                <w:b/>
                <w:bCs/>
                <w:color w:val="000000" w:themeColor="text1"/>
                <w:sz w:val="20"/>
                <w:szCs w:val="20"/>
                <w:highlight w:val="none"/>
                <w14:textFill>
                  <w14:solidFill>
                    <w14:schemeClr w14:val="tx1"/>
                  </w14:solidFill>
                </w14:textFill>
              </w:rPr>
              <w:t>份额代码</w:t>
            </w:r>
          </w:p>
        </w:tc>
        <w:tc>
          <w:tcPr>
            <w:tcW w:w="7478" w:type="dxa"/>
            <w:noWrap w:val="0"/>
            <w:vAlign w:val="center"/>
          </w:tcPr>
          <w:p>
            <w:pPr>
              <w:keepNext w:val="0"/>
              <w:keepLines w:val="0"/>
              <w:pageBreakBefore w:val="0"/>
              <w:widowControl/>
              <w:bidi w:val="0"/>
              <w:spacing w:line="240" w:lineRule="auto"/>
              <w:jc w:val="both"/>
              <w:rPr>
                <w:rFonts w:hint="eastAsia" w:ascii="楷体" w:hAnsi="楷体" w:eastAsia="楷体" w:cs="楷体"/>
                <w:bCs/>
                <w:color w:val="000000" w:themeColor="text1"/>
                <w:sz w:val="20"/>
                <w:szCs w:val="20"/>
                <w:highlight w:val="none"/>
                <w:lang w:val="en-US" w:eastAsia="zh-CN"/>
                <w14:textFill>
                  <w14:solidFill>
                    <w14:schemeClr w14:val="tx1"/>
                  </w14:solidFill>
                </w14:textFill>
              </w:rPr>
            </w:pPr>
            <w:r>
              <w:rPr>
                <w:rFonts w:hint="eastAsia" w:ascii="楷体" w:hAnsi="楷体" w:eastAsia="楷体" w:cs="楷体"/>
                <w:bCs/>
                <w:color w:val="000000" w:themeColor="text1"/>
                <w:sz w:val="20"/>
                <w:szCs w:val="20"/>
                <w:highlight w:val="none"/>
                <w:lang w:val="en-US" w:eastAsia="zh-CN"/>
                <w14:textFill>
                  <w14:solidFill>
                    <w14:schemeClr w14:val="tx1"/>
                  </w14:solidFill>
                </w14:textFill>
              </w:rPr>
              <w:t>A份额：J28343（销售名称：苏银理财恒源封闭债权385期优选2年A）</w:t>
            </w:r>
          </w:p>
          <w:p>
            <w:pPr>
              <w:keepNext w:val="0"/>
              <w:keepLines w:val="0"/>
              <w:pageBreakBefore w:val="0"/>
              <w:widowControl/>
              <w:bidi w:val="0"/>
              <w:spacing w:line="240" w:lineRule="auto"/>
              <w:jc w:val="both"/>
              <w:rPr>
                <w:rFonts w:hint="eastAsia" w:ascii="楷体" w:hAnsi="楷体" w:eastAsia="楷体" w:cs="楷体"/>
                <w:bCs/>
                <w:color w:val="000000"/>
                <w:sz w:val="20"/>
                <w:szCs w:val="20"/>
                <w:highlight w:val="none"/>
                <w:lang w:val="en-US" w:eastAsia="zh-CN"/>
              </w:rPr>
            </w:pPr>
            <w:r>
              <w:rPr>
                <w:rFonts w:hint="eastAsia" w:ascii="楷体" w:hAnsi="楷体" w:eastAsia="楷体" w:cs="楷体"/>
                <w:bCs/>
                <w:color w:val="000000"/>
                <w:sz w:val="20"/>
                <w:szCs w:val="20"/>
                <w:highlight w:val="none"/>
                <w:lang w:val="en-US" w:eastAsia="zh-CN"/>
              </w:rPr>
              <w:t>B份额：J28344（销售名称：苏银理财恒源封闭债权385期优选2年B）</w:t>
            </w:r>
          </w:p>
          <w:p>
            <w:pPr>
              <w:keepNext w:val="0"/>
              <w:keepLines w:val="0"/>
              <w:pageBreakBefore w:val="0"/>
              <w:widowControl/>
              <w:bidi w:val="0"/>
              <w:spacing w:line="240" w:lineRule="auto"/>
              <w:jc w:val="both"/>
              <w:rPr>
                <w:rFonts w:hint="eastAsia" w:ascii="楷体" w:hAnsi="楷体" w:eastAsia="楷体" w:cs="楷体"/>
                <w:bCs/>
                <w:color w:val="000000"/>
                <w:sz w:val="20"/>
                <w:szCs w:val="20"/>
                <w:highlight w:val="none"/>
                <w:lang w:val="en-US" w:eastAsia="zh-CN"/>
              </w:rPr>
            </w:pPr>
            <w:r>
              <w:rPr>
                <w:rFonts w:hint="eastAsia" w:ascii="楷体" w:hAnsi="楷体" w:eastAsia="楷体" w:cs="楷体"/>
                <w:bCs/>
                <w:color w:val="000000"/>
                <w:sz w:val="20"/>
                <w:szCs w:val="20"/>
                <w:highlight w:val="none"/>
                <w:lang w:val="en-US" w:eastAsia="zh-CN"/>
              </w:rPr>
              <w:t>C份额：J28345（销售名称：苏银理财恒源封闭债权385期优选2年C）</w:t>
            </w:r>
          </w:p>
          <w:p>
            <w:pPr>
              <w:keepNext w:val="0"/>
              <w:keepLines w:val="0"/>
              <w:pageBreakBefore w:val="0"/>
              <w:widowControl/>
              <w:bidi w:val="0"/>
              <w:spacing w:line="240" w:lineRule="auto"/>
              <w:jc w:val="both"/>
              <w:rPr>
                <w:rFonts w:hint="eastAsia" w:ascii="楷体" w:hAnsi="楷体" w:eastAsia="楷体" w:cs="楷体"/>
                <w:bCs/>
                <w:color w:val="000000"/>
                <w:sz w:val="20"/>
                <w:szCs w:val="20"/>
                <w:highlight w:val="none"/>
                <w:lang w:val="en-US" w:eastAsia="zh-CN"/>
              </w:rPr>
            </w:pPr>
            <w:r>
              <w:rPr>
                <w:rFonts w:hint="eastAsia" w:ascii="楷体" w:hAnsi="楷体" w:eastAsia="楷体" w:cs="楷体"/>
                <w:bCs/>
                <w:color w:val="000000"/>
                <w:sz w:val="20"/>
                <w:szCs w:val="20"/>
                <w:highlight w:val="none"/>
                <w:lang w:val="en-US" w:eastAsia="zh-CN"/>
              </w:rPr>
              <w:t>D份额：J28346（销售名称：苏银理财恒源封闭债权385期优选2年D）</w:t>
            </w:r>
          </w:p>
          <w:p>
            <w:pPr>
              <w:keepNext w:val="0"/>
              <w:keepLines w:val="0"/>
              <w:pageBreakBefore w:val="0"/>
              <w:widowControl/>
              <w:bidi w:val="0"/>
              <w:spacing w:line="240" w:lineRule="auto"/>
              <w:jc w:val="both"/>
              <w:rPr>
                <w:rFonts w:hint="eastAsia" w:ascii="楷体" w:hAnsi="楷体" w:eastAsia="楷体" w:cs="楷体"/>
                <w:bCs/>
                <w:color w:val="000000"/>
                <w:sz w:val="20"/>
                <w:szCs w:val="20"/>
                <w:highlight w:val="none"/>
                <w:lang w:val="en-US" w:eastAsia="zh-CN"/>
              </w:rPr>
            </w:pPr>
            <w:r>
              <w:rPr>
                <w:rFonts w:hint="eastAsia" w:ascii="楷体" w:hAnsi="楷体" w:eastAsia="楷体" w:cs="楷体"/>
                <w:bCs/>
                <w:color w:val="000000"/>
                <w:sz w:val="20"/>
                <w:szCs w:val="20"/>
                <w:highlight w:val="none"/>
                <w:lang w:val="en-US" w:eastAsia="zh-CN"/>
              </w:rPr>
              <w:t>E份额：J28347（销售名称：苏银理财恒源封闭债权385期优选2年E）</w:t>
            </w:r>
          </w:p>
          <w:p>
            <w:pPr>
              <w:keepNext w:val="0"/>
              <w:keepLines w:val="0"/>
              <w:pageBreakBefore w:val="0"/>
              <w:widowControl/>
              <w:bidi w:val="0"/>
              <w:spacing w:line="240" w:lineRule="auto"/>
              <w:jc w:val="both"/>
              <w:rPr>
                <w:rFonts w:hint="eastAsia" w:ascii="楷体" w:hAnsi="楷体" w:eastAsia="楷体" w:cs="楷体"/>
                <w:bCs/>
                <w:color w:val="000000"/>
                <w:sz w:val="20"/>
                <w:szCs w:val="20"/>
                <w:highlight w:val="none"/>
                <w:lang w:val="en-US" w:eastAsia="zh-CN"/>
              </w:rPr>
            </w:pPr>
            <w:r>
              <w:rPr>
                <w:rFonts w:hint="eastAsia" w:ascii="楷体" w:hAnsi="楷体" w:eastAsia="楷体" w:cs="楷体"/>
                <w:bCs/>
                <w:color w:val="000000"/>
                <w:sz w:val="20"/>
                <w:szCs w:val="20"/>
                <w:highlight w:val="none"/>
                <w:lang w:val="en-US" w:eastAsia="zh-CN"/>
              </w:rPr>
              <w:t>F份额：J28348（销售名称：苏银理财恒源封闭债权385期优选2年F）</w:t>
            </w:r>
          </w:p>
          <w:p>
            <w:pPr>
              <w:keepNext w:val="0"/>
              <w:keepLines w:val="0"/>
              <w:pageBreakBefore w:val="0"/>
              <w:widowControl/>
              <w:bidi w:val="0"/>
              <w:spacing w:line="240" w:lineRule="auto"/>
              <w:jc w:val="both"/>
              <w:rPr>
                <w:rFonts w:hint="eastAsia" w:ascii="楷体" w:hAnsi="楷体" w:eastAsia="楷体" w:cs="楷体"/>
                <w:bCs/>
                <w:color w:val="000000"/>
                <w:sz w:val="20"/>
                <w:szCs w:val="20"/>
                <w:highlight w:val="none"/>
                <w:lang w:val="en-US" w:eastAsia="zh-CN"/>
              </w:rPr>
            </w:pPr>
            <w:r>
              <w:rPr>
                <w:rFonts w:hint="eastAsia" w:ascii="楷体" w:hAnsi="楷体" w:eastAsia="楷体" w:cs="楷体"/>
                <w:bCs/>
                <w:color w:val="000000"/>
                <w:sz w:val="20"/>
                <w:szCs w:val="20"/>
                <w:highlight w:val="none"/>
                <w:lang w:val="en-US" w:eastAsia="zh-CN"/>
              </w:rPr>
              <w:t>H份额：J28349（销售名称：苏银理财恒源封闭债权385期优选2年H）</w:t>
            </w:r>
          </w:p>
          <w:p>
            <w:pPr>
              <w:keepNext w:val="0"/>
              <w:keepLines w:val="0"/>
              <w:pageBreakBefore w:val="0"/>
              <w:widowControl/>
              <w:bidi w:val="0"/>
              <w:spacing w:line="240" w:lineRule="auto"/>
              <w:jc w:val="both"/>
              <w:rPr>
                <w:rFonts w:hint="eastAsia" w:ascii="楷体" w:hAnsi="楷体" w:eastAsia="楷体" w:cs="楷体"/>
                <w:bCs/>
                <w:color w:val="000000"/>
                <w:sz w:val="20"/>
                <w:szCs w:val="20"/>
                <w:highlight w:val="none"/>
                <w:lang w:val="en-US" w:eastAsia="zh-CN"/>
              </w:rPr>
            </w:pPr>
            <w:r>
              <w:rPr>
                <w:rFonts w:hint="eastAsia" w:ascii="楷体" w:hAnsi="楷体" w:eastAsia="楷体" w:cs="楷体"/>
                <w:bCs/>
                <w:color w:val="000000"/>
                <w:sz w:val="20"/>
                <w:szCs w:val="20"/>
                <w:highlight w:val="none"/>
                <w:lang w:val="en-US" w:eastAsia="zh-CN"/>
              </w:rPr>
              <w:t>J份额：J28350（销售名称：苏银理财恒源封闭债权385期优选2年J）</w:t>
            </w:r>
          </w:p>
          <w:p>
            <w:pPr>
              <w:keepNext w:val="0"/>
              <w:keepLines w:val="0"/>
              <w:pageBreakBefore w:val="0"/>
              <w:widowControl/>
              <w:bidi w:val="0"/>
              <w:spacing w:line="240" w:lineRule="auto"/>
              <w:jc w:val="both"/>
              <w:rPr>
                <w:rFonts w:hint="eastAsia" w:ascii="楷体" w:hAnsi="楷体" w:eastAsia="楷体" w:cs="楷体"/>
                <w:bCs/>
                <w:color w:val="000000"/>
                <w:sz w:val="20"/>
                <w:szCs w:val="20"/>
                <w:highlight w:val="none"/>
                <w:lang w:val="en-US" w:eastAsia="zh-CN"/>
              </w:rPr>
            </w:pPr>
            <w:r>
              <w:rPr>
                <w:rFonts w:hint="eastAsia" w:ascii="楷体" w:hAnsi="楷体" w:eastAsia="楷体" w:cs="楷体"/>
                <w:bCs/>
                <w:color w:val="000000"/>
                <w:sz w:val="20"/>
                <w:szCs w:val="20"/>
                <w:highlight w:val="none"/>
                <w:lang w:val="en-US" w:eastAsia="zh-CN"/>
              </w:rPr>
              <w:t>K份额：J28351（销售名称：苏银理财恒源封闭债权385期优选2年K）</w:t>
            </w:r>
          </w:p>
          <w:p>
            <w:pPr>
              <w:keepNext w:val="0"/>
              <w:keepLines w:val="0"/>
              <w:pageBreakBefore w:val="0"/>
              <w:widowControl/>
              <w:bidi w:val="0"/>
              <w:spacing w:line="240" w:lineRule="auto"/>
              <w:jc w:val="both"/>
              <w:rPr>
                <w:rFonts w:hint="eastAsia" w:ascii="楷体" w:hAnsi="楷体" w:eastAsia="楷体" w:cs="楷体"/>
                <w:bCs/>
                <w:color w:val="000000"/>
                <w:sz w:val="20"/>
                <w:szCs w:val="20"/>
                <w:highlight w:val="none"/>
                <w:lang w:val="en-US" w:eastAsia="zh-CN"/>
              </w:rPr>
            </w:pPr>
            <w:r>
              <w:rPr>
                <w:rFonts w:hint="eastAsia" w:ascii="楷体" w:hAnsi="楷体" w:eastAsia="楷体" w:cs="楷体"/>
                <w:bCs/>
                <w:color w:val="000000"/>
                <w:sz w:val="20"/>
                <w:szCs w:val="20"/>
                <w:highlight w:val="none"/>
                <w:lang w:val="en-US" w:eastAsia="zh-CN"/>
              </w:rPr>
              <w:t>L份额：J28352（销售名称：苏银理财恒源封闭债权385期优选2年L）</w:t>
            </w:r>
          </w:p>
          <w:p>
            <w:pPr>
              <w:keepNext w:val="0"/>
              <w:keepLines w:val="0"/>
              <w:pageBreakBefore w:val="0"/>
              <w:widowControl/>
              <w:bidi w:val="0"/>
              <w:spacing w:line="240" w:lineRule="auto"/>
              <w:jc w:val="both"/>
              <w:rPr>
                <w:rFonts w:hint="eastAsia" w:ascii="楷体" w:hAnsi="楷体" w:eastAsia="楷体" w:cs="楷体"/>
                <w:bCs/>
                <w:color w:val="000000"/>
                <w:sz w:val="20"/>
                <w:szCs w:val="20"/>
                <w:highlight w:val="none"/>
                <w:lang w:val="en-US" w:eastAsia="zh-CN"/>
              </w:rPr>
            </w:pPr>
            <w:r>
              <w:rPr>
                <w:rFonts w:hint="eastAsia" w:ascii="楷体" w:hAnsi="楷体" w:eastAsia="楷体" w:cs="楷体"/>
                <w:bCs/>
                <w:color w:val="000000"/>
                <w:sz w:val="20"/>
                <w:szCs w:val="20"/>
                <w:highlight w:val="none"/>
                <w:lang w:val="en-US" w:eastAsia="zh-CN"/>
              </w:rPr>
              <w:t>N份额：J28353（销售名称：苏银理财恒源封闭债权385期优选2年N）</w:t>
            </w:r>
          </w:p>
          <w:p>
            <w:pPr>
              <w:keepNext w:val="0"/>
              <w:keepLines w:val="0"/>
              <w:pageBreakBefore w:val="0"/>
              <w:widowControl/>
              <w:bidi w:val="0"/>
              <w:spacing w:line="240" w:lineRule="auto"/>
              <w:jc w:val="both"/>
              <w:rPr>
                <w:rFonts w:hint="eastAsia" w:ascii="楷体" w:hAnsi="楷体" w:eastAsia="楷体" w:cs="楷体"/>
                <w:bCs/>
                <w:color w:val="000000"/>
                <w:sz w:val="20"/>
                <w:szCs w:val="20"/>
                <w:highlight w:val="none"/>
                <w:lang w:val="en-US" w:eastAsia="zh-CN"/>
              </w:rPr>
            </w:pPr>
            <w:r>
              <w:rPr>
                <w:rFonts w:hint="eastAsia" w:ascii="楷体" w:hAnsi="楷体" w:eastAsia="楷体" w:cs="楷体"/>
                <w:bCs/>
                <w:color w:val="000000"/>
                <w:sz w:val="20"/>
                <w:szCs w:val="20"/>
                <w:highlight w:val="none"/>
                <w:lang w:val="en-US" w:eastAsia="zh-CN"/>
              </w:rPr>
              <w:t>P份额：J28354（销售名称：苏银理财恒源封闭债权385期优选2年P）</w:t>
            </w:r>
          </w:p>
          <w:p>
            <w:pPr>
              <w:keepNext w:val="0"/>
              <w:keepLines w:val="0"/>
              <w:pageBreakBefore w:val="0"/>
              <w:widowControl/>
              <w:bidi w:val="0"/>
              <w:spacing w:line="240" w:lineRule="auto"/>
              <w:jc w:val="both"/>
              <w:rPr>
                <w:rFonts w:hint="eastAsia" w:ascii="楷体" w:hAnsi="楷体" w:eastAsia="楷体" w:cs="楷体"/>
                <w:bCs/>
                <w:color w:val="000000"/>
                <w:sz w:val="20"/>
                <w:szCs w:val="20"/>
                <w:highlight w:val="none"/>
                <w:lang w:val="en-US" w:eastAsia="zh-CN"/>
              </w:rPr>
            </w:pPr>
            <w:r>
              <w:rPr>
                <w:rFonts w:hint="eastAsia" w:ascii="楷体" w:hAnsi="楷体" w:eastAsia="楷体" w:cs="楷体"/>
                <w:bCs/>
                <w:color w:val="000000"/>
                <w:sz w:val="20"/>
                <w:szCs w:val="20"/>
                <w:highlight w:val="none"/>
                <w:lang w:val="en-US" w:eastAsia="zh-CN"/>
              </w:rPr>
              <w:t>JS份额：J28355（销售名称：苏银理财恒源封闭债权385期优选2年JS鑫福款）</w:t>
            </w:r>
          </w:p>
          <w:p>
            <w:pPr>
              <w:keepNext w:val="0"/>
              <w:keepLines w:val="0"/>
              <w:pageBreakBefore w:val="0"/>
              <w:widowControl/>
              <w:bidi w:val="0"/>
              <w:spacing w:line="240" w:lineRule="auto"/>
              <w:jc w:val="both"/>
              <w:rPr>
                <w:rFonts w:hint="eastAsia" w:ascii="楷体" w:hAnsi="楷体" w:eastAsia="楷体" w:cs="楷体"/>
                <w:bCs/>
                <w:color w:val="000000"/>
                <w:sz w:val="20"/>
                <w:szCs w:val="20"/>
                <w:highlight w:val="none"/>
                <w:lang w:val="en-US" w:eastAsia="zh-CN"/>
              </w:rPr>
            </w:pPr>
            <w:r>
              <w:rPr>
                <w:rFonts w:hint="eastAsia" w:ascii="楷体" w:hAnsi="楷体" w:eastAsia="楷体" w:cs="楷体"/>
                <w:bCs/>
                <w:color w:val="000000"/>
                <w:sz w:val="20"/>
                <w:szCs w:val="20"/>
                <w:highlight w:val="none"/>
                <w:lang w:val="en-US" w:eastAsia="zh-CN"/>
              </w:rPr>
              <w:t>G份额：J28356（销售名称：苏银理财恒源封闭债权385期优选2年G（童程筑梦））</w:t>
            </w:r>
          </w:p>
          <w:p>
            <w:pPr>
              <w:keepNext w:val="0"/>
              <w:keepLines w:val="0"/>
              <w:pageBreakBefore w:val="0"/>
              <w:widowControl/>
              <w:bidi w:val="0"/>
              <w:spacing w:line="240" w:lineRule="auto"/>
              <w:jc w:val="both"/>
              <w:rPr>
                <w:rFonts w:hint="eastAsia" w:ascii="楷体" w:hAnsi="楷体" w:eastAsia="楷体" w:cs="楷体"/>
                <w:bCs/>
                <w:color w:val="000000"/>
                <w:sz w:val="20"/>
                <w:szCs w:val="20"/>
                <w:highlight w:val="none"/>
                <w:lang w:val="en-US" w:eastAsia="zh-CN"/>
              </w:rPr>
            </w:pPr>
            <w:r>
              <w:rPr>
                <w:rFonts w:hint="eastAsia" w:ascii="楷体" w:hAnsi="楷体" w:eastAsia="楷体" w:cs="楷体"/>
                <w:bCs/>
                <w:color w:val="000000"/>
                <w:sz w:val="20"/>
                <w:szCs w:val="20"/>
                <w:highlight w:val="none"/>
                <w:lang w:val="en-US" w:eastAsia="zh-CN"/>
              </w:rPr>
              <w:t>I份额：J28357（销售名称：苏银理财恒源封闭债权385期优选2年I）</w:t>
            </w:r>
          </w:p>
          <w:p>
            <w:pPr>
              <w:keepNext w:val="0"/>
              <w:keepLines w:val="0"/>
              <w:pageBreakBefore w:val="0"/>
              <w:widowControl/>
              <w:bidi w:val="0"/>
              <w:spacing w:line="240" w:lineRule="auto"/>
              <w:jc w:val="both"/>
              <w:rPr>
                <w:rFonts w:hint="eastAsia" w:ascii="楷体" w:hAnsi="楷体" w:eastAsia="楷体" w:cs="楷体"/>
                <w:bCs/>
                <w:color w:val="000000"/>
                <w:sz w:val="20"/>
                <w:szCs w:val="20"/>
                <w:highlight w:val="none"/>
                <w:lang w:val="en-US" w:eastAsia="zh-CN"/>
              </w:rPr>
            </w:pPr>
            <w:r>
              <w:rPr>
                <w:rFonts w:hint="eastAsia" w:ascii="楷体" w:hAnsi="楷体" w:eastAsia="楷体" w:cs="楷体"/>
                <w:bCs/>
                <w:color w:val="000000"/>
                <w:sz w:val="20"/>
                <w:szCs w:val="20"/>
                <w:highlight w:val="none"/>
                <w:lang w:val="en-US" w:eastAsia="zh-CN"/>
              </w:rPr>
              <w:t>M份额：J28358（销售名称：苏银理财恒源封闭债权385期优选2年M）</w:t>
            </w:r>
          </w:p>
          <w:p>
            <w:pPr>
              <w:keepNext w:val="0"/>
              <w:keepLines w:val="0"/>
              <w:pageBreakBefore w:val="0"/>
              <w:widowControl/>
              <w:bidi w:val="0"/>
              <w:spacing w:line="240" w:lineRule="auto"/>
              <w:jc w:val="both"/>
              <w:rPr>
                <w:rFonts w:hint="eastAsia" w:ascii="楷体" w:hAnsi="楷体" w:eastAsia="楷体" w:cs="楷体"/>
                <w:bCs/>
                <w:color w:val="000000"/>
                <w:sz w:val="20"/>
                <w:szCs w:val="20"/>
                <w:highlight w:val="none"/>
                <w:lang w:val="en-US" w:eastAsia="zh-CN"/>
              </w:rPr>
            </w:pPr>
            <w:r>
              <w:rPr>
                <w:rFonts w:hint="eastAsia" w:ascii="楷体" w:hAnsi="楷体" w:eastAsia="楷体" w:cs="楷体"/>
                <w:bCs/>
                <w:color w:val="000000"/>
                <w:sz w:val="20"/>
                <w:szCs w:val="20"/>
                <w:highlight w:val="none"/>
                <w:lang w:val="en-US" w:eastAsia="zh-CN"/>
              </w:rPr>
              <w:t>O份额：J28359（销售名称：苏银理财恒源封闭债权385期优选2年O（武汉农商行行庆专属））</w:t>
            </w:r>
          </w:p>
          <w:p>
            <w:pPr>
              <w:keepNext w:val="0"/>
              <w:keepLines w:val="0"/>
              <w:pageBreakBefore w:val="0"/>
              <w:widowControl/>
              <w:bidi w:val="0"/>
              <w:spacing w:line="240" w:lineRule="auto"/>
              <w:jc w:val="both"/>
              <w:rPr>
                <w:rFonts w:hint="eastAsia" w:ascii="楷体" w:hAnsi="楷体" w:eastAsia="楷体" w:cs="楷体"/>
                <w:bCs/>
                <w:color w:val="000000"/>
                <w:sz w:val="20"/>
                <w:szCs w:val="20"/>
                <w:highlight w:val="none"/>
                <w:lang w:val="en-US" w:eastAsia="zh-CN"/>
              </w:rPr>
            </w:pPr>
            <w:r>
              <w:rPr>
                <w:rFonts w:hint="eastAsia" w:ascii="楷体" w:hAnsi="楷体" w:eastAsia="楷体" w:cs="楷体"/>
                <w:bCs/>
                <w:color w:val="000000"/>
                <w:sz w:val="20"/>
                <w:szCs w:val="20"/>
                <w:highlight w:val="none"/>
                <w:lang w:val="en-US" w:eastAsia="zh-CN"/>
              </w:rPr>
              <w:t>Z份额：J28360（销售名称：苏银理财恒源封闭债权385期优选2年Z）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178" w:type="dxa"/>
            <w:noWrap w:val="0"/>
            <w:vAlign w:val="center"/>
          </w:tcPr>
          <w:p>
            <w:pPr>
              <w:keepNext w:val="0"/>
              <w:keepLines w:val="0"/>
              <w:pageBreakBefore w:val="0"/>
              <w:widowControl/>
              <w:bidi w:val="0"/>
              <w:spacing w:line="240" w:lineRule="auto"/>
              <w:jc w:val="center"/>
              <w:rPr>
                <w:rFonts w:hint="eastAsia" w:ascii="楷体" w:hAnsi="楷体" w:eastAsia="楷体" w:cs="楷体"/>
                <w:b/>
                <w:bCs/>
                <w:color w:val="000000" w:themeColor="text1"/>
                <w:sz w:val="20"/>
                <w:szCs w:val="20"/>
                <w:highlight w:val="none"/>
                <w14:textFill>
                  <w14:solidFill>
                    <w14:schemeClr w14:val="tx1"/>
                  </w14:solidFill>
                </w14:textFill>
              </w:rPr>
            </w:pPr>
            <w:r>
              <w:rPr>
                <w:rFonts w:hint="eastAsia" w:ascii="楷体" w:hAnsi="楷体" w:eastAsia="楷体" w:cs="楷体"/>
                <w:b/>
                <w:bCs/>
                <w:color w:val="000000" w:themeColor="text1"/>
                <w:sz w:val="20"/>
                <w:szCs w:val="20"/>
                <w:highlight w:val="none"/>
                <w14:textFill>
                  <w14:solidFill>
                    <w14:schemeClr w14:val="tx1"/>
                  </w14:solidFill>
                </w14:textFill>
              </w:rPr>
              <w:t>发行机构名称</w:t>
            </w:r>
          </w:p>
        </w:tc>
        <w:tc>
          <w:tcPr>
            <w:tcW w:w="7478" w:type="dxa"/>
            <w:noWrap w:val="0"/>
            <w:vAlign w:val="center"/>
          </w:tcPr>
          <w:p>
            <w:pPr>
              <w:keepNext w:val="0"/>
              <w:keepLines w:val="0"/>
              <w:pageBreakBefore w:val="0"/>
              <w:widowControl/>
              <w:bidi w:val="0"/>
              <w:spacing w:line="240" w:lineRule="auto"/>
              <w:jc w:val="both"/>
              <w:rPr>
                <w:rFonts w:hint="eastAsia" w:ascii="楷体" w:hAnsi="楷体" w:eastAsia="楷体" w:cs="楷体"/>
                <w:bCs/>
                <w:color w:val="000000" w:themeColor="text1"/>
                <w:sz w:val="20"/>
                <w:szCs w:val="20"/>
                <w:highlight w:val="none"/>
                <w:lang w:val="en-US" w:eastAsia="zh-CN"/>
                <w14:textFill>
                  <w14:solidFill>
                    <w14:schemeClr w14:val="tx1"/>
                  </w14:solidFill>
                </w14:textFill>
              </w:rPr>
            </w:pPr>
            <w:r>
              <w:rPr>
                <w:rFonts w:hint="eastAsia" w:ascii="楷体" w:hAnsi="楷体" w:eastAsia="楷体" w:cs="楷体"/>
                <w:b w:val="0"/>
                <w:bCs w:val="0"/>
                <w:color w:val="auto"/>
                <w:sz w:val="20"/>
                <w:szCs w:val="20"/>
                <w:highlight w:val="none"/>
                <w:u w:val="none"/>
              </w:rPr>
              <w:t>苏银理财有限责任公司（以下简称“苏银理财”）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178" w:type="dxa"/>
            <w:noWrap w:val="0"/>
            <w:vAlign w:val="center"/>
          </w:tcPr>
          <w:p>
            <w:pPr>
              <w:keepNext w:val="0"/>
              <w:keepLines w:val="0"/>
              <w:pageBreakBefore w:val="0"/>
              <w:widowControl/>
              <w:bidi w:val="0"/>
              <w:spacing w:line="240" w:lineRule="auto"/>
              <w:jc w:val="center"/>
              <w:rPr>
                <w:rFonts w:hint="eastAsia" w:ascii="楷体" w:hAnsi="楷体" w:eastAsia="楷体" w:cs="楷体"/>
                <w:b/>
                <w:bCs/>
                <w:color w:val="000000" w:themeColor="text1"/>
                <w:sz w:val="20"/>
                <w:szCs w:val="20"/>
                <w:highlight w:val="none"/>
                <w14:textFill>
                  <w14:solidFill>
                    <w14:schemeClr w14:val="tx1"/>
                  </w14:solidFill>
                </w14:textFill>
              </w:rPr>
            </w:pPr>
            <w:r>
              <w:rPr>
                <w:rFonts w:hint="eastAsia" w:ascii="楷体" w:hAnsi="楷体" w:eastAsia="楷体" w:cs="楷体"/>
                <w:b/>
                <w:bCs/>
                <w:color w:val="000000" w:themeColor="text1"/>
                <w:sz w:val="20"/>
                <w:szCs w:val="20"/>
                <w:highlight w:val="none"/>
                <w14:textFill>
                  <w14:solidFill>
                    <w14:schemeClr w14:val="tx1"/>
                  </w14:solidFill>
                </w14:textFill>
              </w:rPr>
              <w:t>销售机构名称</w:t>
            </w:r>
          </w:p>
        </w:tc>
        <w:tc>
          <w:tcPr>
            <w:tcW w:w="7478" w:type="dxa"/>
            <w:noWrap w:val="0"/>
            <w:vAlign w:val="center"/>
          </w:tcPr>
          <w:p>
            <w:pPr>
              <w:keepNext w:val="0"/>
              <w:keepLines w:val="0"/>
              <w:pageBreakBefore w:val="0"/>
              <w:widowControl/>
              <w:bidi w:val="0"/>
              <w:spacing w:line="240" w:lineRule="auto"/>
              <w:jc w:val="both"/>
              <w:rPr>
                <w:rFonts w:hint="eastAsia" w:ascii="楷体" w:hAnsi="楷体" w:eastAsia="楷体" w:cs="楷体"/>
                <w:sz w:val="20"/>
                <w:szCs w:val="20"/>
                <w:highlight w:val="none"/>
                <w:lang w:val="en-US" w:eastAsia="zh-CN"/>
              </w:rPr>
            </w:pPr>
            <w:r>
              <w:rPr>
                <w:rFonts w:hint="eastAsia" w:ascii="楷体" w:hAnsi="楷体" w:eastAsia="楷体" w:cs="楷体"/>
                <w:color w:val="000000" w:themeColor="text1"/>
                <w:sz w:val="20"/>
                <w:szCs w:val="20"/>
                <w:highlight w:val="none"/>
                <w:lang w:val="en-US" w:eastAsia="zh-CN"/>
                <w14:textFill>
                  <w14:solidFill>
                    <w14:schemeClr w14:val="tx1"/>
                  </w14:solidFill>
                </w14:textFill>
              </w:rPr>
              <w:t>（1）北京农村商业银行股份有限公司：P份额</w:t>
            </w:r>
          </w:p>
          <w:p>
            <w:pPr>
              <w:keepNext w:val="0"/>
              <w:keepLines w:val="0"/>
              <w:pageBreakBefore w:val="0"/>
              <w:widowControl/>
              <w:bidi w:val="0"/>
              <w:spacing w:line="240" w:lineRule="auto"/>
              <w:jc w:val="both"/>
              <w:rPr>
                <w:rFonts w:hint="eastAsia" w:ascii="楷体" w:hAnsi="楷体" w:eastAsia="楷体" w:cs="楷体"/>
                <w:sz w:val="20"/>
                <w:szCs w:val="20"/>
                <w:highlight w:val="none"/>
                <w:lang w:val="en-US" w:eastAsia="zh-CN"/>
              </w:rPr>
            </w:pPr>
            <w:r>
              <w:rPr>
                <w:rFonts w:hint="eastAsia" w:ascii="楷体" w:hAnsi="楷体" w:eastAsia="楷体" w:cs="楷体"/>
                <w:color w:val="000000"/>
                <w:sz w:val="20"/>
                <w:szCs w:val="20"/>
                <w:highlight w:val="none"/>
                <w:lang w:val="en-US" w:eastAsia="zh-CN"/>
              </w:rPr>
              <w:t>（2）东营银行股份有限公司：F份额</w:t>
            </w:r>
          </w:p>
          <w:p>
            <w:pPr>
              <w:keepNext w:val="0"/>
              <w:keepLines w:val="0"/>
              <w:pageBreakBefore w:val="0"/>
              <w:widowControl/>
              <w:bidi w:val="0"/>
              <w:spacing w:line="240" w:lineRule="auto"/>
              <w:jc w:val="both"/>
              <w:rPr>
                <w:rFonts w:hint="eastAsia" w:ascii="楷体" w:hAnsi="楷体" w:eastAsia="楷体" w:cs="楷体"/>
                <w:sz w:val="20"/>
                <w:szCs w:val="20"/>
                <w:highlight w:val="none"/>
                <w:lang w:val="en-US" w:eastAsia="zh-CN"/>
              </w:rPr>
            </w:pPr>
            <w:r>
              <w:rPr>
                <w:rFonts w:hint="eastAsia" w:ascii="楷体" w:hAnsi="楷体" w:eastAsia="楷体" w:cs="楷体"/>
                <w:color w:val="000000"/>
                <w:sz w:val="20"/>
                <w:szCs w:val="20"/>
                <w:highlight w:val="none"/>
                <w:lang w:val="en-US" w:eastAsia="zh-CN"/>
              </w:rPr>
              <w:t>（3）东莞农村商业银行股份有限公司：L份额</w:t>
            </w:r>
          </w:p>
          <w:p>
            <w:pPr>
              <w:keepNext w:val="0"/>
              <w:keepLines w:val="0"/>
              <w:pageBreakBefore w:val="0"/>
              <w:widowControl/>
              <w:bidi w:val="0"/>
              <w:spacing w:line="240" w:lineRule="auto"/>
              <w:jc w:val="both"/>
              <w:rPr>
                <w:rFonts w:hint="eastAsia" w:ascii="楷体" w:hAnsi="楷体" w:eastAsia="楷体" w:cs="楷体"/>
                <w:sz w:val="20"/>
                <w:szCs w:val="20"/>
                <w:highlight w:val="none"/>
                <w:lang w:val="en-US" w:eastAsia="zh-CN"/>
              </w:rPr>
            </w:pPr>
            <w:r>
              <w:rPr>
                <w:rFonts w:hint="eastAsia" w:ascii="楷体" w:hAnsi="楷体" w:eastAsia="楷体" w:cs="楷体"/>
                <w:color w:val="000000"/>
                <w:sz w:val="20"/>
                <w:szCs w:val="20"/>
                <w:highlight w:val="none"/>
                <w:lang w:val="en-US" w:eastAsia="zh-CN"/>
              </w:rPr>
              <w:t>（4）甘肃银行股份有限公司：F份额</w:t>
            </w:r>
          </w:p>
          <w:p>
            <w:pPr>
              <w:keepNext w:val="0"/>
              <w:keepLines w:val="0"/>
              <w:pageBreakBefore w:val="0"/>
              <w:widowControl/>
              <w:bidi w:val="0"/>
              <w:spacing w:line="240" w:lineRule="auto"/>
              <w:jc w:val="both"/>
              <w:rPr>
                <w:rFonts w:hint="eastAsia" w:ascii="楷体" w:hAnsi="楷体" w:eastAsia="楷体" w:cs="楷体"/>
                <w:sz w:val="20"/>
                <w:szCs w:val="20"/>
                <w:highlight w:val="none"/>
                <w:lang w:val="en-US" w:eastAsia="zh-CN"/>
              </w:rPr>
            </w:pPr>
            <w:r>
              <w:rPr>
                <w:rFonts w:hint="eastAsia" w:ascii="楷体" w:hAnsi="楷体" w:eastAsia="楷体" w:cs="楷体"/>
                <w:color w:val="000000"/>
                <w:sz w:val="20"/>
                <w:szCs w:val="20"/>
                <w:highlight w:val="none"/>
                <w:lang w:val="en-US" w:eastAsia="zh-CN"/>
              </w:rPr>
              <w:t>（5）广州农村商业银行股份有限公司：L份额、P份额</w:t>
            </w:r>
          </w:p>
          <w:p>
            <w:pPr>
              <w:keepNext w:val="0"/>
              <w:keepLines w:val="0"/>
              <w:pageBreakBefore w:val="0"/>
              <w:widowControl/>
              <w:bidi w:val="0"/>
              <w:spacing w:line="240" w:lineRule="auto"/>
              <w:jc w:val="both"/>
              <w:rPr>
                <w:rFonts w:hint="eastAsia" w:ascii="楷体" w:hAnsi="楷体" w:eastAsia="楷体" w:cs="楷体"/>
                <w:sz w:val="20"/>
                <w:szCs w:val="20"/>
                <w:highlight w:val="none"/>
                <w:lang w:val="en-US" w:eastAsia="zh-CN"/>
              </w:rPr>
            </w:pPr>
            <w:r>
              <w:rPr>
                <w:rFonts w:hint="eastAsia" w:ascii="楷体" w:hAnsi="楷体" w:eastAsia="楷体" w:cs="楷体"/>
                <w:color w:val="000000"/>
                <w:sz w:val="20"/>
                <w:szCs w:val="20"/>
                <w:highlight w:val="none"/>
                <w:lang w:val="en-US" w:eastAsia="zh-CN"/>
              </w:rPr>
              <w:t>（6）杭州联合农村商业银行股份有限公司：J份额</w:t>
            </w:r>
          </w:p>
          <w:p>
            <w:pPr>
              <w:keepNext w:val="0"/>
              <w:keepLines w:val="0"/>
              <w:pageBreakBefore w:val="0"/>
              <w:widowControl/>
              <w:bidi w:val="0"/>
              <w:spacing w:line="240" w:lineRule="auto"/>
              <w:jc w:val="both"/>
              <w:rPr>
                <w:rFonts w:hint="eastAsia" w:ascii="楷体" w:hAnsi="楷体" w:eastAsia="楷体" w:cs="楷体"/>
                <w:sz w:val="20"/>
                <w:szCs w:val="20"/>
                <w:highlight w:val="none"/>
                <w:lang w:val="en-US" w:eastAsia="zh-CN"/>
              </w:rPr>
            </w:pPr>
            <w:r>
              <w:rPr>
                <w:rFonts w:hint="eastAsia" w:ascii="楷体" w:hAnsi="楷体" w:eastAsia="楷体" w:cs="楷体"/>
                <w:color w:val="000000"/>
                <w:sz w:val="20"/>
                <w:szCs w:val="20"/>
                <w:highlight w:val="none"/>
                <w:lang w:val="en-US" w:eastAsia="zh-CN"/>
              </w:rPr>
              <w:t>（7）湖北银行股份有限公司：L份额</w:t>
            </w:r>
          </w:p>
          <w:p>
            <w:pPr>
              <w:keepNext w:val="0"/>
              <w:keepLines w:val="0"/>
              <w:pageBreakBefore w:val="0"/>
              <w:widowControl/>
              <w:bidi w:val="0"/>
              <w:spacing w:line="240" w:lineRule="auto"/>
              <w:jc w:val="both"/>
              <w:rPr>
                <w:rFonts w:hint="eastAsia" w:ascii="楷体" w:hAnsi="楷体" w:eastAsia="楷体" w:cs="楷体"/>
                <w:sz w:val="20"/>
                <w:szCs w:val="20"/>
                <w:highlight w:val="none"/>
                <w:lang w:val="en-US" w:eastAsia="zh-CN"/>
              </w:rPr>
            </w:pPr>
            <w:r>
              <w:rPr>
                <w:rFonts w:hint="eastAsia" w:ascii="楷体" w:hAnsi="楷体" w:eastAsia="楷体" w:cs="楷体"/>
                <w:color w:val="000000"/>
                <w:sz w:val="20"/>
                <w:szCs w:val="20"/>
                <w:highlight w:val="none"/>
                <w:lang w:val="en-US" w:eastAsia="zh-CN"/>
              </w:rPr>
              <w:t>（8）湖州吴兴农村商业银行股份有限公司：J份额</w:t>
            </w:r>
          </w:p>
          <w:p>
            <w:pPr>
              <w:keepNext w:val="0"/>
              <w:keepLines w:val="0"/>
              <w:pageBreakBefore w:val="0"/>
              <w:widowControl/>
              <w:bidi w:val="0"/>
              <w:spacing w:line="240" w:lineRule="auto"/>
              <w:jc w:val="both"/>
              <w:rPr>
                <w:rFonts w:hint="eastAsia" w:ascii="楷体" w:hAnsi="楷体" w:eastAsia="楷体" w:cs="楷体"/>
                <w:sz w:val="20"/>
                <w:szCs w:val="20"/>
                <w:highlight w:val="none"/>
                <w:lang w:val="en-US" w:eastAsia="zh-CN"/>
              </w:rPr>
            </w:pPr>
            <w:r>
              <w:rPr>
                <w:rFonts w:hint="eastAsia" w:ascii="楷体" w:hAnsi="楷体" w:eastAsia="楷体" w:cs="楷体"/>
                <w:color w:val="000000"/>
                <w:sz w:val="20"/>
                <w:szCs w:val="20"/>
                <w:highlight w:val="none"/>
                <w:lang w:val="en-US" w:eastAsia="zh-CN"/>
              </w:rPr>
              <w:t>（9）吉林银行股份有限公司：M份额</w:t>
            </w:r>
          </w:p>
          <w:p>
            <w:pPr>
              <w:keepNext w:val="0"/>
              <w:keepLines w:val="0"/>
              <w:pageBreakBefore w:val="0"/>
              <w:widowControl/>
              <w:bidi w:val="0"/>
              <w:spacing w:line="240" w:lineRule="auto"/>
              <w:jc w:val="both"/>
              <w:rPr>
                <w:rFonts w:hint="eastAsia" w:ascii="楷体" w:hAnsi="楷体" w:eastAsia="楷体" w:cs="楷体"/>
                <w:sz w:val="20"/>
                <w:szCs w:val="20"/>
                <w:highlight w:val="none"/>
                <w:lang w:val="en-US" w:eastAsia="zh-CN"/>
              </w:rPr>
            </w:pPr>
            <w:r>
              <w:rPr>
                <w:rFonts w:hint="eastAsia" w:ascii="楷体" w:hAnsi="楷体" w:eastAsia="楷体" w:cs="楷体"/>
                <w:color w:val="000000"/>
                <w:sz w:val="20"/>
                <w:szCs w:val="20"/>
                <w:highlight w:val="none"/>
                <w:lang w:val="en-US" w:eastAsia="zh-CN"/>
              </w:rPr>
              <w:t>（10）嘉兴银行股份有限公司：F份额</w:t>
            </w:r>
          </w:p>
          <w:p>
            <w:pPr>
              <w:keepNext w:val="0"/>
              <w:keepLines w:val="0"/>
              <w:pageBreakBefore w:val="0"/>
              <w:widowControl/>
              <w:bidi w:val="0"/>
              <w:spacing w:line="240" w:lineRule="auto"/>
              <w:jc w:val="both"/>
              <w:rPr>
                <w:rFonts w:hint="eastAsia" w:ascii="楷体" w:hAnsi="楷体" w:eastAsia="楷体" w:cs="楷体"/>
                <w:sz w:val="20"/>
                <w:szCs w:val="20"/>
                <w:highlight w:val="none"/>
                <w:lang w:val="en-US" w:eastAsia="zh-CN"/>
              </w:rPr>
            </w:pPr>
            <w:r>
              <w:rPr>
                <w:rFonts w:hint="eastAsia" w:ascii="楷体" w:hAnsi="楷体" w:eastAsia="楷体" w:cs="楷体"/>
                <w:color w:val="000000"/>
                <w:sz w:val="20"/>
                <w:szCs w:val="20"/>
                <w:highlight w:val="none"/>
                <w:lang w:val="en-US" w:eastAsia="zh-CN"/>
              </w:rPr>
              <w:t>（11）江门农村商业银行股份有限公司：P份额</w:t>
            </w:r>
          </w:p>
          <w:p>
            <w:pPr>
              <w:keepNext w:val="0"/>
              <w:keepLines w:val="0"/>
              <w:pageBreakBefore w:val="0"/>
              <w:widowControl/>
              <w:bidi w:val="0"/>
              <w:spacing w:line="240" w:lineRule="auto"/>
              <w:jc w:val="both"/>
              <w:rPr>
                <w:rFonts w:hint="eastAsia" w:ascii="楷体" w:hAnsi="楷体" w:eastAsia="楷体" w:cs="楷体"/>
                <w:sz w:val="20"/>
                <w:szCs w:val="20"/>
                <w:highlight w:val="none"/>
                <w:lang w:val="en-US" w:eastAsia="zh-CN"/>
              </w:rPr>
            </w:pPr>
            <w:r>
              <w:rPr>
                <w:rFonts w:hint="eastAsia" w:ascii="楷体" w:hAnsi="楷体" w:eastAsia="楷体" w:cs="楷体"/>
                <w:color w:val="000000"/>
                <w:sz w:val="20"/>
                <w:szCs w:val="20"/>
                <w:highlight w:val="none"/>
                <w:lang w:val="en-US" w:eastAsia="zh-CN"/>
              </w:rPr>
              <w:t>（12）江苏宝应农村商业银行股份有限公司：JS份额</w:t>
            </w:r>
          </w:p>
          <w:p>
            <w:pPr>
              <w:keepNext w:val="0"/>
              <w:keepLines w:val="0"/>
              <w:pageBreakBefore w:val="0"/>
              <w:widowControl/>
              <w:bidi w:val="0"/>
              <w:spacing w:line="240" w:lineRule="auto"/>
              <w:jc w:val="both"/>
              <w:rPr>
                <w:rFonts w:hint="eastAsia" w:ascii="楷体" w:hAnsi="楷体" w:eastAsia="楷体" w:cs="楷体"/>
                <w:sz w:val="20"/>
                <w:szCs w:val="20"/>
                <w:highlight w:val="none"/>
                <w:lang w:val="en-US" w:eastAsia="zh-CN"/>
              </w:rPr>
            </w:pPr>
            <w:r>
              <w:rPr>
                <w:rFonts w:hint="eastAsia" w:ascii="楷体" w:hAnsi="楷体" w:eastAsia="楷体" w:cs="楷体"/>
                <w:color w:val="000000"/>
                <w:sz w:val="20"/>
                <w:szCs w:val="20"/>
                <w:highlight w:val="none"/>
                <w:lang w:val="en-US" w:eastAsia="zh-CN"/>
              </w:rPr>
              <w:t>（13）江苏滨海农村商业银行股份有限公司：JS份额</w:t>
            </w:r>
          </w:p>
          <w:p>
            <w:pPr>
              <w:keepNext w:val="0"/>
              <w:keepLines w:val="0"/>
              <w:pageBreakBefore w:val="0"/>
              <w:widowControl/>
              <w:bidi w:val="0"/>
              <w:spacing w:line="240" w:lineRule="auto"/>
              <w:jc w:val="both"/>
              <w:rPr>
                <w:rFonts w:hint="eastAsia" w:ascii="楷体" w:hAnsi="楷体" w:eastAsia="楷体" w:cs="楷体"/>
                <w:sz w:val="20"/>
                <w:szCs w:val="20"/>
                <w:highlight w:val="none"/>
                <w:lang w:val="en-US" w:eastAsia="zh-CN"/>
              </w:rPr>
            </w:pPr>
            <w:r>
              <w:rPr>
                <w:rFonts w:hint="eastAsia" w:ascii="楷体" w:hAnsi="楷体" w:eastAsia="楷体" w:cs="楷体"/>
                <w:color w:val="000000"/>
                <w:sz w:val="20"/>
                <w:szCs w:val="20"/>
                <w:highlight w:val="none"/>
                <w:lang w:val="en-US" w:eastAsia="zh-CN"/>
              </w:rPr>
              <w:t>（14）江苏常熟农村商业银行股份有限公司：A份额、E份额、L份额、JS份额</w:t>
            </w:r>
          </w:p>
          <w:p>
            <w:pPr>
              <w:keepNext w:val="0"/>
              <w:keepLines w:val="0"/>
              <w:pageBreakBefore w:val="0"/>
              <w:widowControl/>
              <w:bidi w:val="0"/>
              <w:spacing w:line="240" w:lineRule="auto"/>
              <w:jc w:val="both"/>
              <w:rPr>
                <w:rFonts w:hint="eastAsia" w:ascii="楷体" w:hAnsi="楷体" w:eastAsia="楷体" w:cs="楷体"/>
                <w:sz w:val="20"/>
                <w:szCs w:val="20"/>
                <w:highlight w:val="none"/>
                <w:lang w:val="en-US" w:eastAsia="zh-CN"/>
              </w:rPr>
            </w:pPr>
            <w:r>
              <w:rPr>
                <w:rFonts w:hint="eastAsia" w:ascii="楷体" w:hAnsi="楷体" w:eastAsia="楷体" w:cs="楷体"/>
                <w:color w:val="000000"/>
                <w:sz w:val="20"/>
                <w:szCs w:val="20"/>
                <w:highlight w:val="none"/>
                <w:lang w:val="en-US" w:eastAsia="zh-CN"/>
              </w:rPr>
              <w:t>（15）江苏大丰农村商业银行股份有限公司：JS份额</w:t>
            </w:r>
          </w:p>
          <w:p>
            <w:pPr>
              <w:keepNext w:val="0"/>
              <w:keepLines w:val="0"/>
              <w:pageBreakBefore w:val="0"/>
              <w:widowControl/>
              <w:bidi w:val="0"/>
              <w:spacing w:line="240" w:lineRule="auto"/>
              <w:jc w:val="both"/>
              <w:rPr>
                <w:rFonts w:hint="eastAsia" w:ascii="楷体" w:hAnsi="楷体" w:eastAsia="楷体" w:cs="楷体"/>
                <w:sz w:val="20"/>
                <w:szCs w:val="20"/>
                <w:highlight w:val="none"/>
                <w:lang w:val="en-US" w:eastAsia="zh-CN"/>
              </w:rPr>
            </w:pPr>
            <w:r>
              <w:rPr>
                <w:rFonts w:hint="eastAsia" w:ascii="楷体" w:hAnsi="楷体" w:eastAsia="楷体" w:cs="楷体"/>
                <w:color w:val="000000"/>
                <w:sz w:val="20"/>
                <w:szCs w:val="20"/>
                <w:highlight w:val="none"/>
                <w:lang w:val="en-US" w:eastAsia="zh-CN"/>
              </w:rPr>
              <w:t>（16）江苏东海农村商业银行股份有限公司：JS份额</w:t>
            </w:r>
          </w:p>
          <w:p>
            <w:pPr>
              <w:keepNext w:val="0"/>
              <w:keepLines w:val="0"/>
              <w:pageBreakBefore w:val="0"/>
              <w:widowControl/>
              <w:bidi w:val="0"/>
              <w:spacing w:line="240" w:lineRule="auto"/>
              <w:jc w:val="both"/>
              <w:rPr>
                <w:rFonts w:hint="eastAsia" w:ascii="楷体" w:hAnsi="楷体" w:eastAsia="楷体" w:cs="楷体"/>
                <w:sz w:val="20"/>
                <w:szCs w:val="20"/>
                <w:highlight w:val="none"/>
                <w:lang w:val="en-US" w:eastAsia="zh-CN"/>
              </w:rPr>
            </w:pPr>
            <w:r>
              <w:rPr>
                <w:rFonts w:hint="eastAsia" w:ascii="楷体" w:hAnsi="楷体" w:eastAsia="楷体" w:cs="楷体"/>
                <w:color w:val="000000"/>
                <w:sz w:val="20"/>
                <w:szCs w:val="20"/>
                <w:highlight w:val="none"/>
                <w:lang w:val="en-US" w:eastAsia="zh-CN"/>
              </w:rPr>
              <w:t>（17）江苏东台农村商业银行股份有限公司：JS份额</w:t>
            </w:r>
          </w:p>
          <w:p>
            <w:pPr>
              <w:keepNext w:val="0"/>
              <w:keepLines w:val="0"/>
              <w:pageBreakBefore w:val="0"/>
              <w:widowControl/>
              <w:bidi w:val="0"/>
              <w:spacing w:line="240" w:lineRule="auto"/>
              <w:jc w:val="both"/>
              <w:rPr>
                <w:rFonts w:hint="eastAsia" w:ascii="楷体" w:hAnsi="楷体" w:eastAsia="楷体" w:cs="楷体"/>
                <w:sz w:val="20"/>
                <w:szCs w:val="20"/>
                <w:highlight w:val="none"/>
                <w:lang w:val="en-US" w:eastAsia="zh-CN"/>
              </w:rPr>
            </w:pPr>
            <w:r>
              <w:rPr>
                <w:rFonts w:hint="eastAsia" w:ascii="楷体" w:hAnsi="楷体" w:eastAsia="楷体" w:cs="楷体"/>
                <w:color w:val="000000"/>
                <w:sz w:val="20"/>
                <w:szCs w:val="20"/>
                <w:highlight w:val="none"/>
                <w:lang w:val="en-US" w:eastAsia="zh-CN"/>
              </w:rPr>
              <w:t>（18）江苏丰县农村商业银行股份有限公司：JS份额</w:t>
            </w:r>
          </w:p>
          <w:p>
            <w:pPr>
              <w:keepNext w:val="0"/>
              <w:keepLines w:val="0"/>
              <w:pageBreakBefore w:val="0"/>
              <w:widowControl/>
              <w:bidi w:val="0"/>
              <w:spacing w:line="240" w:lineRule="auto"/>
              <w:jc w:val="both"/>
              <w:rPr>
                <w:rFonts w:hint="eastAsia" w:ascii="楷体" w:hAnsi="楷体" w:eastAsia="楷体" w:cs="楷体"/>
                <w:sz w:val="20"/>
                <w:szCs w:val="20"/>
                <w:highlight w:val="none"/>
                <w:lang w:val="en-US" w:eastAsia="zh-CN"/>
              </w:rPr>
            </w:pPr>
            <w:r>
              <w:rPr>
                <w:rFonts w:hint="eastAsia" w:ascii="楷体" w:hAnsi="楷体" w:eastAsia="楷体" w:cs="楷体"/>
                <w:color w:val="000000"/>
                <w:sz w:val="20"/>
                <w:szCs w:val="20"/>
                <w:highlight w:val="none"/>
                <w:lang w:val="en-US" w:eastAsia="zh-CN"/>
              </w:rPr>
              <w:t>（19）江苏阜宁农村商业银行股份有限公司：JS份额</w:t>
            </w:r>
          </w:p>
          <w:p>
            <w:pPr>
              <w:keepNext w:val="0"/>
              <w:keepLines w:val="0"/>
              <w:pageBreakBefore w:val="0"/>
              <w:widowControl/>
              <w:bidi w:val="0"/>
              <w:spacing w:line="240" w:lineRule="auto"/>
              <w:jc w:val="both"/>
              <w:rPr>
                <w:rFonts w:hint="eastAsia" w:ascii="楷体" w:hAnsi="楷体" w:eastAsia="楷体" w:cs="楷体"/>
                <w:sz w:val="20"/>
                <w:szCs w:val="20"/>
                <w:highlight w:val="none"/>
                <w:lang w:val="en-US" w:eastAsia="zh-CN"/>
              </w:rPr>
            </w:pPr>
            <w:r>
              <w:rPr>
                <w:rFonts w:hint="eastAsia" w:ascii="楷体" w:hAnsi="楷体" w:eastAsia="楷体" w:cs="楷体"/>
                <w:color w:val="000000"/>
                <w:sz w:val="20"/>
                <w:szCs w:val="20"/>
                <w:highlight w:val="none"/>
                <w:lang w:val="en-US" w:eastAsia="zh-CN"/>
              </w:rPr>
              <w:t>（20）江苏赣榆农村商业银行股份有限公司：JS份额</w:t>
            </w:r>
          </w:p>
          <w:p>
            <w:pPr>
              <w:keepNext w:val="0"/>
              <w:keepLines w:val="0"/>
              <w:pageBreakBefore w:val="0"/>
              <w:widowControl/>
              <w:bidi w:val="0"/>
              <w:spacing w:line="240" w:lineRule="auto"/>
              <w:jc w:val="both"/>
              <w:rPr>
                <w:rFonts w:hint="eastAsia" w:ascii="楷体" w:hAnsi="楷体" w:eastAsia="楷体" w:cs="楷体"/>
                <w:sz w:val="20"/>
                <w:szCs w:val="20"/>
                <w:highlight w:val="none"/>
                <w:lang w:val="en-US" w:eastAsia="zh-CN"/>
              </w:rPr>
            </w:pPr>
            <w:r>
              <w:rPr>
                <w:rFonts w:hint="eastAsia" w:ascii="楷体" w:hAnsi="楷体" w:eastAsia="楷体" w:cs="楷体"/>
                <w:color w:val="000000"/>
                <w:sz w:val="20"/>
                <w:szCs w:val="20"/>
                <w:highlight w:val="none"/>
                <w:lang w:val="en-US" w:eastAsia="zh-CN"/>
              </w:rPr>
              <w:t>（21）江苏高淳农村商业银行股份有限公司：A份额、JS份额</w:t>
            </w:r>
          </w:p>
          <w:p>
            <w:pPr>
              <w:keepNext w:val="0"/>
              <w:keepLines w:val="0"/>
              <w:pageBreakBefore w:val="0"/>
              <w:widowControl/>
              <w:bidi w:val="0"/>
              <w:spacing w:line="240" w:lineRule="auto"/>
              <w:jc w:val="both"/>
              <w:rPr>
                <w:rFonts w:hint="eastAsia" w:ascii="楷体" w:hAnsi="楷体" w:eastAsia="楷体" w:cs="楷体"/>
                <w:sz w:val="20"/>
                <w:szCs w:val="20"/>
                <w:highlight w:val="none"/>
                <w:lang w:val="en-US" w:eastAsia="zh-CN"/>
              </w:rPr>
            </w:pPr>
            <w:r>
              <w:rPr>
                <w:rFonts w:hint="eastAsia" w:ascii="楷体" w:hAnsi="楷体" w:eastAsia="楷体" w:cs="楷体"/>
                <w:color w:val="000000"/>
                <w:sz w:val="20"/>
                <w:szCs w:val="20"/>
                <w:highlight w:val="none"/>
                <w:lang w:val="en-US" w:eastAsia="zh-CN"/>
              </w:rPr>
              <w:t>（22）江苏高邮农村商业银行股份有限公司：JS份额</w:t>
            </w:r>
          </w:p>
          <w:p>
            <w:pPr>
              <w:keepNext w:val="0"/>
              <w:keepLines w:val="0"/>
              <w:pageBreakBefore w:val="0"/>
              <w:widowControl/>
              <w:bidi w:val="0"/>
              <w:spacing w:line="240" w:lineRule="auto"/>
              <w:jc w:val="both"/>
              <w:rPr>
                <w:rFonts w:hint="eastAsia" w:ascii="楷体" w:hAnsi="楷体" w:eastAsia="楷体" w:cs="楷体"/>
                <w:sz w:val="20"/>
                <w:szCs w:val="20"/>
                <w:highlight w:val="none"/>
                <w:lang w:val="en-US" w:eastAsia="zh-CN"/>
              </w:rPr>
            </w:pPr>
            <w:r>
              <w:rPr>
                <w:rFonts w:hint="eastAsia" w:ascii="楷体" w:hAnsi="楷体" w:eastAsia="楷体" w:cs="楷体"/>
                <w:color w:val="000000"/>
                <w:sz w:val="20"/>
                <w:szCs w:val="20"/>
                <w:highlight w:val="none"/>
                <w:lang w:val="en-US" w:eastAsia="zh-CN"/>
              </w:rPr>
              <w:t>（23）江苏灌南农村商业银行股份有限公司：JS份额</w:t>
            </w:r>
          </w:p>
          <w:p>
            <w:pPr>
              <w:keepNext w:val="0"/>
              <w:keepLines w:val="0"/>
              <w:pageBreakBefore w:val="0"/>
              <w:widowControl/>
              <w:bidi w:val="0"/>
              <w:spacing w:line="240" w:lineRule="auto"/>
              <w:jc w:val="both"/>
              <w:rPr>
                <w:rFonts w:hint="eastAsia" w:ascii="楷体" w:hAnsi="楷体" w:eastAsia="楷体" w:cs="楷体"/>
                <w:sz w:val="20"/>
                <w:szCs w:val="20"/>
                <w:highlight w:val="none"/>
                <w:lang w:val="en-US" w:eastAsia="zh-CN"/>
              </w:rPr>
            </w:pPr>
            <w:r>
              <w:rPr>
                <w:rFonts w:hint="eastAsia" w:ascii="楷体" w:hAnsi="楷体" w:eastAsia="楷体" w:cs="楷体"/>
                <w:color w:val="000000"/>
                <w:sz w:val="20"/>
                <w:szCs w:val="20"/>
                <w:highlight w:val="none"/>
                <w:lang w:val="en-US" w:eastAsia="zh-CN"/>
              </w:rPr>
              <w:t>（24）江苏灌云农村商业银行股份有限公司：JS份额</w:t>
            </w:r>
          </w:p>
          <w:p>
            <w:pPr>
              <w:keepNext w:val="0"/>
              <w:keepLines w:val="0"/>
              <w:pageBreakBefore w:val="0"/>
              <w:widowControl/>
              <w:bidi w:val="0"/>
              <w:spacing w:line="240" w:lineRule="auto"/>
              <w:jc w:val="both"/>
              <w:rPr>
                <w:rFonts w:hint="eastAsia" w:ascii="楷体" w:hAnsi="楷体" w:eastAsia="楷体" w:cs="楷体"/>
                <w:sz w:val="20"/>
                <w:szCs w:val="20"/>
                <w:highlight w:val="none"/>
                <w:lang w:val="en-US" w:eastAsia="zh-CN"/>
              </w:rPr>
            </w:pPr>
            <w:r>
              <w:rPr>
                <w:rFonts w:hint="eastAsia" w:ascii="楷体" w:hAnsi="楷体" w:eastAsia="楷体" w:cs="楷体"/>
                <w:color w:val="000000"/>
                <w:sz w:val="20"/>
                <w:szCs w:val="20"/>
                <w:highlight w:val="none"/>
                <w:lang w:val="en-US" w:eastAsia="zh-CN"/>
              </w:rPr>
              <w:t>（25）江苏海安农村商业银行股份有限公司：JS份额</w:t>
            </w:r>
          </w:p>
          <w:p>
            <w:pPr>
              <w:keepNext w:val="0"/>
              <w:keepLines w:val="0"/>
              <w:pageBreakBefore w:val="0"/>
              <w:widowControl/>
              <w:bidi w:val="0"/>
              <w:spacing w:line="240" w:lineRule="auto"/>
              <w:jc w:val="both"/>
              <w:rPr>
                <w:rFonts w:hint="eastAsia" w:ascii="楷体" w:hAnsi="楷体" w:eastAsia="楷体" w:cs="楷体"/>
                <w:sz w:val="20"/>
                <w:szCs w:val="20"/>
                <w:highlight w:val="none"/>
                <w:lang w:val="en-US" w:eastAsia="zh-CN"/>
              </w:rPr>
            </w:pPr>
            <w:r>
              <w:rPr>
                <w:rFonts w:hint="eastAsia" w:ascii="楷体" w:hAnsi="楷体" w:eastAsia="楷体" w:cs="楷体"/>
                <w:color w:val="000000"/>
                <w:sz w:val="20"/>
                <w:szCs w:val="20"/>
                <w:highlight w:val="none"/>
                <w:lang w:val="en-US" w:eastAsia="zh-CN"/>
              </w:rPr>
              <w:t>（26）江苏海门农村商业银行股份有限公司：JS份额</w:t>
            </w:r>
          </w:p>
          <w:p>
            <w:pPr>
              <w:keepNext w:val="0"/>
              <w:keepLines w:val="0"/>
              <w:pageBreakBefore w:val="0"/>
              <w:widowControl/>
              <w:bidi w:val="0"/>
              <w:spacing w:line="240" w:lineRule="auto"/>
              <w:jc w:val="both"/>
              <w:rPr>
                <w:rFonts w:hint="eastAsia" w:ascii="楷体" w:hAnsi="楷体" w:eastAsia="楷体" w:cs="楷体"/>
                <w:sz w:val="20"/>
                <w:szCs w:val="20"/>
                <w:highlight w:val="none"/>
                <w:lang w:val="en-US" w:eastAsia="zh-CN"/>
              </w:rPr>
            </w:pPr>
            <w:r>
              <w:rPr>
                <w:rFonts w:hint="eastAsia" w:ascii="楷体" w:hAnsi="楷体" w:eastAsia="楷体" w:cs="楷体"/>
                <w:color w:val="000000"/>
                <w:sz w:val="20"/>
                <w:szCs w:val="20"/>
                <w:highlight w:val="none"/>
                <w:lang w:val="en-US" w:eastAsia="zh-CN"/>
              </w:rPr>
              <w:t>（27）江苏建湖农村商业银行股份有限公司：JS份额</w:t>
            </w:r>
          </w:p>
          <w:p>
            <w:pPr>
              <w:keepNext w:val="0"/>
              <w:keepLines w:val="0"/>
              <w:pageBreakBefore w:val="0"/>
              <w:widowControl/>
              <w:bidi w:val="0"/>
              <w:spacing w:line="240" w:lineRule="auto"/>
              <w:jc w:val="both"/>
              <w:rPr>
                <w:rFonts w:hint="eastAsia" w:ascii="楷体" w:hAnsi="楷体" w:eastAsia="楷体" w:cs="楷体"/>
                <w:sz w:val="20"/>
                <w:szCs w:val="20"/>
                <w:highlight w:val="none"/>
                <w:lang w:val="en-US" w:eastAsia="zh-CN"/>
              </w:rPr>
            </w:pPr>
            <w:r>
              <w:rPr>
                <w:rFonts w:hint="eastAsia" w:ascii="楷体" w:hAnsi="楷体" w:eastAsia="楷体" w:cs="楷体"/>
                <w:color w:val="000000"/>
                <w:sz w:val="20"/>
                <w:szCs w:val="20"/>
                <w:highlight w:val="none"/>
                <w:lang w:val="en-US" w:eastAsia="zh-CN"/>
              </w:rPr>
              <w:t>（28）江苏姜堰农村商业银行股份有限公司：A份额、JS份额</w:t>
            </w:r>
          </w:p>
          <w:p>
            <w:pPr>
              <w:keepNext w:val="0"/>
              <w:keepLines w:val="0"/>
              <w:pageBreakBefore w:val="0"/>
              <w:widowControl/>
              <w:bidi w:val="0"/>
              <w:spacing w:line="240" w:lineRule="auto"/>
              <w:jc w:val="both"/>
              <w:rPr>
                <w:rFonts w:hint="eastAsia" w:ascii="楷体" w:hAnsi="楷体" w:eastAsia="楷体" w:cs="楷体"/>
                <w:sz w:val="20"/>
                <w:szCs w:val="20"/>
                <w:highlight w:val="none"/>
                <w:lang w:val="en-US" w:eastAsia="zh-CN"/>
              </w:rPr>
            </w:pPr>
            <w:r>
              <w:rPr>
                <w:rFonts w:hint="eastAsia" w:ascii="楷体" w:hAnsi="楷体" w:eastAsia="楷体" w:cs="楷体"/>
                <w:color w:val="000000"/>
                <w:sz w:val="20"/>
                <w:szCs w:val="20"/>
                <w:highlight w:val="none"/>
                <w:lang w:val="en-US" w:eastAsia="zh-CN"/>
              </w:rPr>
              <w:t>（29）江苏江都农村商业银行股份有限公司：JS份额</w:t>
            </w:r>
          </w:p>
          <w:p>
            <w:pPr>
              <w:keepNext w:val="0"/>
              <w:keepLines w:val="0"/>
              <w:pageBreakBefore w:val="0"/>
              <w:widowControl/>
              <w:bidi w:val="0"/>
              <w:spacing w:line="240" w:lineRule="auto"/>
              <w:jc w:val="both"/>
              <w:rPr>
                <w:rFonts w:hint="eastAsia" w:ascii="楷体" w:hAnsi="楷体" w:eastAsia="楷体" w:cs="楷体"/>
                <w:sz w:val="20"/>
                <w:szCs w:val="20"/>
                <w:highlight w:val="none"/>
                <w:lang w:val="en-US" w:eastAsia="zh-CN"/>
              </w:rPr>
            </w:pPr>
            <w:r>
              <w:rPr>
                <w:rFonts w:hint="eastAsia" w:ascii="楷体" w:hAnsi="楷体" w:eastAsia="楷体" w:cs="楷体"/>
                <w:color w:val="000000"/>
                <w:sz w:val="20"/>
                <w:szCs w:val="20"/>
                <w:highlight w:val="none"/>
                <w:lang w:val="en-US" w:eastAsia="zh-CN"/>
              </w:rPr>
              <w:t>（30）江苏江南农村商业银行股份有限公司：JS份额</w:t>
            </w:r>
          </w:p>
          <w:p>
            <w:pPr>
              <w:keepNext w:val="0"/>
              <w:keepLines w:val="0"/>
              <w:pageBreakBefore w:val="0"/>
              <w:widowControl/>
              <w:bidi w:val="0"/>
              <w:spacing w:line="240" w:lineRule="auto"/>
              <w:jc w:val="both"/>
              <w:rPr>
                <w:rFonts w:hint="eastAsia" w:ascii="楷体" w:hAnsi="楷体" w:eastAsia="楷体" w:cs="楷体"/>
                <w:sz w:val="20"/>
                <w:szCs w:val="20"/>
                <w:highlight w:val="none"/>
                <w:lang w:val="en-US" w:eastAsia="zh-CN"/>
              </w:rPr>
            </w:pPr>
            <w:r>
              <w:rPr>
                <w:rFonts w:hint="eastAsia" w:ascii="楷体" w:hAnsi="楷体" w:eastAsia="楷体" w:cs="楷体"/>
                <w:color w:val="000000"/>
                <w:sz w:val="20"/>
                <w:szCs w:val="20"/>
                <w:highlight w:val="none"/>
                <w:lang w:val="en-US" w:eastAsia="zh-CN"/>
              </w:rPr>
              <w:t>（31）江苏金湖农村商业银行股份有限公司：JS份额</w:t>
            </w:r>
          </w:p>
          <w:p>
            <w:pPr>
              <w:keepNext w:val="0"/>
              <w:keepLines w:val="0"/>
              <w:pageBreakBefore w:val="0"/>
              <w:widowControl/>
              <w:bidi w:val="0"/>
              <w:spacing w:line="240" w:lineRule="auto"/>
              <w:jc w:val="both"/>
              <w:rPr>
                <w:rFonts w:hint="eastAsia" w:ascii="楷体" w:hAnsi="楷体" w:eastAsia="楷体" w:cs="楷体"/>
                <w:sz w:val="20"/>
                <w:szCs w:val="20"/>
                <w:highlight w:val="none"/>
                <w:lang w:val="en-US" w:eastAsia="zh-CN"/>
              </w:rPr>
            </w:pPr>
            <w:r>
              <w:rPr>
                <w:rFonts w:hint="eastAsia" w:ascii="楷体" w:hAnsi="楷体" w:eastAsia="楷体" w:cs="楷体"/>
                <w:color w:val="000000"/>
                <w:sz w:val="20"/>
                <w:szCs w:val="20"/>
                <w:highlight w:val="none"/>
                <w:lang w:val="en-US" w:eastAsia="zh-CN"/>
              </w:rPr>
              <w:t>（32）江苏靖江农村商业银行股份有限公司：JS份额</w:t>
            </w:r>
          </w:p>
          <w:p>
            <w:pPr>
              <w:keepNext w:val="0"/>
              <w:keepLines w:val="0"/>
              <w:pageBreakBefore w:val="0"/>
              <w:widowControl/>
              <w:bidi w:val="0"/>
              <w:spacing w:line="240" w:lineRule="auto"/>
              <w:jc w:val="both"/>
              <w:rPr>
                <w:rFonts w:hint="eastAsia" w:ascii="楷体" w:hAnsi="楷体" w:eastAsia="楷体" w:cs="楷体"/>
                <w:sz w:val="20"/>
                <w:szCs w:val="20"/>
                <w:highlight w:val="none"/>
                <w:lang w:val="en-US" w:eastAsia="zh-CN"/>
              </w:rPr>
            </w:pPr>
            <w:r>
              <w:rPr>
                <w:rFonts w:hint="eastAsia" w:ascii="楷体" w:hAnsi="楷体" w:eastAsia="楷体" w:cs="楷体"/>
                <w:color w:val="000000"/>
                <w:sz w:val="20"/>
                <w:szCs w:val="20"/>
                <w:highlight w:val="none"/>
                <w:lang w:val="en-US" w:eastAsia="zh-CN"/>
              </w:rPr>
              <w:t>（33）江苏句容农村商业银行股份有限公司：JS份额</w:t>
            </w:r>
          </w:p>
          <w:p>
            <w:pPr>
              <w:keepNext w:val="0"/>
              <w:keepLines w:val="0"/>
              <w:pageBreakBefore w:val="0"/>
              <w:widowControl/>
              <w:bidi w:val="0"/>
              <w:spacing w:line="240" w:lineRule="auto"/>
              <w:jc w:val="both"/>
              <w:rPr>
                <w:rFonts w:hint="eastAsia" w:ascii="楷体" w:hAnsi="楷体" w:eastAsia="楷体" w:cs="楷体"/>
                <w:sz w:val="20"/>
                <w:szCs w:val="20"/>
                <w:highlight w:val="none"/>
                <w:lang w:val="en-US" w:eastAsia="zh-CN"/>
              </w:rPr>
            </w:pPr>
            <w:r>
              <w:rPr>
                <w:rFonts w:hint="eastAsia" w:ascii="楷体" w:hAnsi="楷体" w:eastAsia="楷体" w:cs="楷体"/>
                <w:color w:val="000000"/>
                <w:sz w:val="20"/>
                <w:szCs w:val="20"/>
                <w:highlight w:val="none"/>
                <w:lang w:val="en-US" w:eastAsia="zh-CN"/>
              </w:rPr>
              <w:t>（34）江苏民丰农村商业银行股份有限公司：JS份额</w:t>
            </w:r>
          </w:p>
          <w:p>
            <w:pPr>
              <w:keepNext w:val="0"/>
              <w:keepLines w:val="0"/>
              <w:pageBreakBefore w:val="0"/>
              <w:widowControl/>
              <w:bidi w:val="0"/>
              <w:spacing w:line="240" w:lineRule="auto"/>
              <w:jc w:val="both"/>
              <w:rPr>
                <w:rFonts w:hint="eastAsia" w:ascii="楷体" w:hAnsi="楷体" w:eastAsia="楷体" w:cs="楷体"/>
                <w:sz w:val="20"/>
                <w:szCs w:val="20"/>
                <w:highlight w:val="none"/>
                <w:lang w:val="en-US" w:eastAsia="zh-CN"/>
              </w:rPr>
            </w:pPr>
            <w:r>
              <w:rPr>
                <w:rFonts w:hint="eastAsia" w:ascii="楷体" w:hAnsi="楷体" w:eastAsia="楷体" w:cs="楷体"/>
                <w:color w:val="000000"/>
                <w:sz w:val="20"/>
                <w:szCs w:val="20"/>
                <w:highlight w:val="none"/>
                <w:lang w:val="en-US" w:eastAsia="zh-CN"/>
              </w:rPr>
              <w:t>（35）江苏沛县农村商业银行股份有限公司：JS份额</w:t>
            </w:r>
          </w:p>
          <w:p>
            <w:pPr>
              <w:keepNext w:val="0"/>
              <w:keepLines w:val="0"/>
              <w:pageBreakBefore w:val="0"/>
              <w:widowControl/>
              <w:bidi w:val="0"/>
              <w:spacing w:line="240" w:lineRule="auto"/>
              <w:jc w:val="both"/>
              <w:rPr>
                <w:rFonts w:hint="eastAsia" w:ascii="楷体" w:hAnsi="楷体" w:eastAsia="楷体" w:cs="楷体"/>
                <w:sz w:val="20"/>
                <w:szCs w:val="20"/>
                <w:highlight w:val="none"/>
                <w:lang w:val="en-US" w:eastAsia="zh-CN"/>
              </w:rPr>
            </w:pPr>
            <w:r>
              <w:rPr>
                <w:rFonts w:hint="eastAsia" w:ascii="楷体" w:hAnsi="楷体" w:eastAsia="楷体" w:cs="楷体"/>
                <w:color w:val="000000"/>
                <w:sz w:val="20"/>
                <w:szCs w:val="20"/>
                <w:highlight w:val="none"/>
                <w:lang w:val="en-US" w:eastAsia="zh-CN"/>
              </w:rPr>
              <w:t>（36）江苏启东农村商业银行股份有限公司：JS份额</w:t>
            </w:r>
          </w:p>
          <w:p>
            <w:pPr>
              <w:keepNext w:val="0"/>
              <w:keepLines w:val="0"/>
              <w:pageBreakBefore w:val="0"/>
              <w:widowControl/>
              <w:bidi w:val="0"/>
              <w:spacing w:line="240" w:lineRule="auto"/>
              <w:jc w:val="both"/>
              <w:rPr>
                <w:rFonts w:hint="eastAsia" w:ascii="楷体" w:hAnsi="楷体" w:eastAsia="楷体" w:cs="楷体"/>
                <w:sz w:val="20"/>
                <w:szCs w:val="20"/>
                <w:highlight w:val="none"/>
                <w:lang w:val="en-US" w:eastAsia="zh-CN"/>
              </w:rPr>
            </w:pPr>
            <w:r>
              <w:rPr>
                <w:rFonts w:hint="eastAsia" w:ascii="楷体" w:hAnsi="楷体" w:eastAsia="楷体" w:cs="楷体"/>
                <w:color w:val="000000"/>
                <w:sz w:val="20"/>
                <w:szCs w:val="20"/>
                <w:highlight w:val="none"/>
                <w:lang w:val="en-US" w:eastAsia="zh-CN"/>
              </w:rPr>
              <w:t>（37）江苏如东农村商业银行股份有限公司：JS份额</w:t>
            </w:r>
          </w:p>
          <w:p>
            <w:pPr>
              <w:keepNext w:val="0"/>
              <w:keepLines w:val="0"/>
              <w:pageBreakBefore w:val="0"/>
              <w:widowControl/>
              <w:bidi w:val="0"/>
              <w:spacing w:line="240" w:lineRule="auto"/>
              <w:jc w:val="both"/>
              <w:rPr>
                <w:rFonts w:hint="eastAsia" w:ascii="楷体" w:hAnsi="楷体" w:eastAsia="楷体" w:cs="楷体"/>
                <w:sz w:val="20"/>
                <w:szCs w:val="20"/>
                <w:highlight w:val="none"/>
                <w:lang w:val="en-US" w:eastAsia="zh-CN"/>
              </w:rPr>
            </w:pPr>
            <w:r>
              <w:rPr>
                <w:rFonts w:hint="eastAsia" w:ascii="楷体" w:hAnsi="楷体" w:eastAsia="楷体" w:cs="楷体"/>
                <w:color w:val="000000"/>
                <w:sz w:val="20"/>
                <w:szCs w:val="20"/>
                <w:highlight w:val="none"/>
                <w:lang w:val="en-US" w:eastAsia="zh-CN"/>
              </w:rPr>
              <w:t>（38）江苏如皋农村商业银行股份有限公司：JS份额</w:t>
            </w:r>
          </w:p>
          <w:p>
            <w:pPr>
              <w:keepNext w:val="0"/>
              <w:keepLines w:val="0"/>
              <w:pageBreakBefore w:val="0"/>
              <w:widowControl/>
              <w:bidi w:val="0"/>
              <w:spacing w:line="240" w:lineRule="auto"/>
              <w:jc w:val="both"/>
              <w:rPr>
                <w:rFonts w:hint="eastAsia" w:ascii="楷体" w:hAnsi="楷体" w:eastAsia="楷体" w:cs="楷体"/>
                <w:sz w:val="20"/>
                <w:szCs w:val="20"/>
                <w:highlight w:val="none"/>
                <w:lang w:val="en-US" w:eastAsia="zh-CN"/>
              </w:rPr>
            </w:pPr>
            <w:r>
              <w:rPr>
                <w:rFonts w:hint="eastAsia" w:ascii="楷体" w:hAnsi="楷体" w:eastAsia="楷体" w:cs="楷体"/>
                <w:color w:val="000000"/>
                <w:sz w:val="20"/>
                <w:szCs w:val="20"/>
                <w:highlight w:val="none"/>
                <w:lang w:val="en-US" w:eastAsia="zh-CN"/>
              </w:rPr>
              <w:t>（39）江苏射阳农村商业银行股份有限公司：JS份额</w:t>
            </w:r>
          </w:p>
          <w:p>
            <w:pPr>
              <w:keepNext w:val="0"/>
              <w:keepLines w:val="0"/>
              <w:pageBreakBefore w:val="0"/>
              <w:widowControl/>
              <w:bidi w:val="0"/>
              <w:spacing w:line="240" w:lineRule="auto"/>
              <w:jc w:val="both"/>
              <w:rPr>
                <w:rFonts w:hint="eastAsia" w:ascii="楷体" w:hAnsi="楷体" w:eastAsia="楷体" w:cs="楷体"/>
                <w:sz w:val="20"/>
                <w:szCs w:val="20"/>
                <w:highlight w:val="none"/>
                <w:lang w:val="en-US" w:eastAsia="zh-CN"/>
              </w:rPr>
            </w:pPr>
            <w:r>
              <w:rPr>
                <w:rFonts w:hint="eastAsia" w:ascii="楷体" w:hAnsi="楷体" w:eastAsia="楷体" w:cs="楷体"/>
                <w:color w:val="000000"/>
                <w:sz w:val="20"/>
                <w:szCs w:val="20"/>
                <w:highlight w:val="none"/>
                <w:lang w:val="en-US" w:eastAsia="zh-CN"/>
              </w:rPr>
              <w:t>（40）江苏苏州农村商业银行股份有限公司：L份额</w:t>
            </w:r>
          </w:p>
          <w:p>
            <w:pPr>
              <w:keepNext w:val="0"/>
              <w:keepLines w:val="0"/>
              <w:pageBreakBefore w:val="0"/>
              <w:widowControl/>
              <w:bidi w:val="0"/>
              <w:spacing w:line="240" w:lineRule="auto"/>
              <w:jc w:val="both"/>
              <w:rPr>
                <w:rFonts w:hint="eastAsia" w:ascii="楷体" w:hAnsi="楷体" w:eastAsia="楷体" w:cs="楷体"/>
                <w:sz w:val="20"/>
                <w:szCs w:val="20"/>
                <w:highlight w:val="none"/>
                <w:lang w:val="en-US" w:eastAsia="zh-CN"/>
              </w:rPr>
            </w:pPr>
            <w:r>
              <w:rPr>
                <w:rFonts w:hint="eastAsia" w:ascii="楷体" w:hAnsi="楷体" w:eastAsia="楷体" w:cs="楷体"/>
                <w:color w:val="000000"/>
                <w:sz w:val="20"/>
                <w:szCs w:val="20"/>
                <w:highlight w:val="none"/>
                <w:lang w:val="en-US" w:eastAsia="zh-CN"/>
              </w:rPr>
              <w:t>（41）江苏泰兴农村商业银行股份有限公司：JS份额</w:t>
            </w:r>
          </w:p>
          <w:p>
            <w:pPr>
              <w:keepNext w:val="0"/>
              <w:keepLines w:val="0"/>
              <w:pageBreakBefore w:val="0"/>
              <w:widowControl/>
              <w:bidi w:val="0"/>
              <w:spacing w:line="240" w:lineRule="auto"/>
              <w:jc w:val="both"/>
              <w:rPr>
                <w:rFonts w:hint="eastAsia" w:ascii="楷体" w:hAnsi="楷体" w:eastAsia="楷体" w:cs="楷体"/>
                <w:sz w:val="20"/>
                <w:szCs w:val="20"/>
                <w:highlight w:val="none"/>
                <w:lang w:val="en-US" w:eastAsia="zh-CN"/>
              </w:rPr>
            </w:pPr>
            <w:r>
              <w:rPr>
                <w:rFonts w:hint="eastAsia" w:ascii="楷体" w:hAnsi="楷体" w:eastAsia="楷体" w:cs="楷体"/>
                <w:color w:val="000000"/>
                <w:sz w:val="20"/>
                <w:szCs w:val="20"/>
                <w:highlight w:val="none"/>
                <w:lang w:val="en-US" w:eastAsia="zh-CN"/>
              </w:rPr>
              <w:t>（42）江苏太仓农村商业银行股份有限公司：JS份额</w:t>
            </w:r>
          </w:p>
          <w:p>
            <w:pPr>
              <w:keepNext w:val="0"/>
              <w:keepLines w:val="0"/>
              <w:pageBreakBefore w:val="0"/>
              <w:widowControl/>
              <w:bidi w:val="0"/>
              <w:spacing w:line="240" w:lineRule="auto"/>
              <w:jc w:val="both"/>
              <w:rPr>
                <w:rFonts w:hint="eastAsia" w:ascii="楷体" w:hAnsi="楷体" w:eastAsia="楷体" w:cs="楷体"/>
                <w:sz w:val="20"/>
                <w:szCs w:val="20"/>
                <w:highlight w:val="none"/>
                <w:lang w:val="en-US" w:eastAsia="zh-CN"/>
              </w:rPr>
            </w:pPr>
            <w:r>
              <w:rPr>
                <w:rFonts w:hint="eastAsia" w:ascii="楷体" w:hAnsi="楷体" w:eastAsia="楷体" w:cs="楷体"/>
                <w:color w:val="000000"/>
                <w:sz w:val="20"/>
                <w:szCs w:val="20"/>
                <w:highlight w:val="none"/>
                <w:lang w:val="en-US" w:eastAsia="zh-CN"/>
              </w:rPr>
              <w:t>（43）江苏响水农村商业银行股份有限公司：JS份额</w:t>
            </w:r>
          </w:p>
          <w:p>
            <w:pPr>
              <w:keepNext w:val="0"/>
              <w:keepLines w:val="0"/>
              <w:pageBreakBefore w:val="0"/>
              <w:widowControl/>
              <w:bidi w:val="0"/>
              <w:spacing w:line="240" w:lineRule="auto"/>
              <w:jc w:val="both"/>
              <w:rPr>
                <w:rFonts w:hint="eastAsia" w:ascii="楷体" w:hAnsi="楷体" w:eastAsia="楷体" w:cs="楷体"/>
                <w:sz w:val="20"/>
                <w:szCs w:val="20"/>
                <w:highlight w:val="none"/>
                <w:lang w:val="en-US" w:eastAsia="zh-CN"/>
              </w:rPr>
            </w:pPr>
            <w:r>
              <w:rPr>
                <w:rFonts w:hint="eastAsia" w:ascii="楷体" w:hAnsi="楷体" w:eastAsia="楷体" w:cs="楷体"/>
                <w:color w:val="000000"/>
                <w:sz w:val="20"/>
                <w:szCs w:val="20"/>
                <w:highlight w:val="none"/>
                <w:lang w:val="en-US" w:eastAsia="zh-CN"/>
              </w:rPr>
              <w:t>（44）江苏新沂农村商业银行股份有限公司：JS份额</w:t>
            </w:r>
          </w:p>
          <w:p>
            <w:pPr>
              <w:keepNext w:val="0"/>
              <w:keepLines w:val="0"/>
              <w:pageBreakBefore w:val="0"/>
              <w:widowControl/>
              <w:bidi w:val="0"/>
              <w:spacing w:line="240" w:lineRule="auto"/>
              <w:jc w:val="both"/>
              <w:rPr>
                <w:rFonts w:hint="eastAsia" w:ascii="楷体" w:hAnsi="楷体" w:eastAsia="楷体" w:cs="楷体"/>
                <w:sz w:val="20"/>
                <w:szCs w:val="20"/>
                <w:highlight w:val="none"/>
                <w:lang w:val="en-US" w:eastAsia="zh-CN"/>
              </w:rPr>
            </w:pPr>
            <w:r>
              <w:rPr>
                <w:rFonts w:hint="eastAsia" w:ascii="楷体" w:hAnsi="楷体" w:eastAsia="楷体" w:cs="楷体"/>
                <w:color w:val="000000"/>
                <w:sz w:val="20"/>
                <w:szCs w:val="20"/>
                <w:highlight w:val="none"/>
                <w:lang w:val="en-US" w:eastAsia="zh-CN"/>
              </w:rPr>
              <w:t>（45）江苏盐城农村商业银行股份有限公司：JS份额</w:t>
            </w:r>
          </w:p>
          <w:p>
            <w:pPr>
              <w:keepNext w:val="0"/>
              <w:keepLines w:val="0"/>
              <w:pageBreakBefore w:val="0"/>
              <w:widowControl/>
              <w:bidi w:val="0"/>
              <w:spacing w:line="240" w:lineRule="auto"/>
              <w:jc w:val="both"/>
              <w:rPr>
                <w:rFonts w:hint="eastAsia" w:ascii="楷体" w:hAnsi="楷体" w:eastAsia="楷体" w:cs="楷体"/>
                <w:sz w:val="20"/>
                <w:szCs w:val="20"/>
                <w:highlight w:val="none"/>
                <w:lang w:val="en-US" w:eastAsia="zh-CN"/>
              </w:rPr>
            </w:pPr>
            <w:r>
              <w:rPr>
                <w:rFonts w:hint="eastAsia" w:ascii="楷体" w:hAnsi="楷体" w:eastAsia="楷体" w:cs="楷体"/>
                <w:color w:val="000000"/>
                <w:sz w:val="20"/>
                <w:szCs w:val="20"/>
                <w:highlight w:val="none"/>
                <w:lang w:val="en-US" w:eastAsia="zh-CN"/>
              </w:rPr>
              <w:t>（46）江苏扬中农村商业银行股份有限公司：JS份额</w:t>
            </w:r>
          </w:p>
          <w:p>
            <w:pPr>
              <w:keepNext w:val="0"/>
              <w:keepLines w:val="0"/>
              <w:pageBreakBefore w:val="0"/>
              <w:widowControl/>
              <w:bidi w:val="0"/>
              <w:spacing w:line="240" w:lineRule="auto"/>
              <w:jc w:val="both"/>
              <w:rPr>
                <w:rFonts w:hint="eastAsia" w:ascii="楷体" w:hAnsi="楷体" w:eastAsia="楷体" w:cs="楷体"/>
                <w:sz w:val="20"/>
                <w:szCs w:val="20"/>
                <w:highlight w:val="none"/>
                <w:lang w:val="en-US" w:eastAsia="zh-CN"/>
              </w:rPr>
            </w:pPr>
            <w:r>
              <w:rPr>
                <w:rFonts w:hint="eastAsia" w:ascii="楷体" w:hAnsi="楷体" w:eastAsia="楷体" w:cs="楷体"/>
                <w:color w:val="000000"/>
                <w:sz w:val="20"/>
                <w:szCs w:val="20"/>
                <w:highlight w:val="none"/>
                <w:lang w:val="en-US" w:eastAsia="zh-CN"/>
              </w:rPr>
              <w:t>（47）江苏扬州农村商业银行股份有限公司：JS份额</w:t>
            </w:r>
          </w:p>
          <w:p>
            <w:pPr>
              <w:keepNext w:val="0"/>
              <w:keepLines w:val="0"/>
              <w:pageBreakBefore w:val="0"/>
              <w:widowControl/>
              <w:bidi w:val="0"/>
              <w:spacing w:line="240" w:lineRule="auto"/>
              <w:jc w:val="both"/>
              <w:rPr>
                <w:rFonts w:hint="eastAsia" w:ascii="楷体" w:hAnsi="楷体" w:eastAsia="楷体" w:cs="楷体"/>
                <w:sz w:val="20"/>
                <w:szCs w:val="20"/>
                <w:highlight w:val="none"/>
                <w:lang w:val="en-US" w:eastAsia="zh-CN"/>
              </w:rPr>
            </w:pPr>
            <w:r>
              <w:rPr>
                <w:rFonts w:hint="eastAsia" w:ascii="楷体" w:hAnsi="楷体" w:eastAsia="楷体" w:cs="楷体"/>
                <w:color w:val="000000"/>
                <w:sz w:val="20"/>
                <w:szCs w:val="20"/>
                <w:highlight w:val="none"/>
                <w:lang w:val="en-US" w:eastAsia="zh-CN"/>
              </w:rPr>
              <w:t>（48）江苏仪征农村商业银行股份有限公司：JS份额</w:t>
            </w:r>
          </w:p>
          <w:p>
            <w:pPr>
              <w:keepNext w:val="0"/>
              <w:keepLines w:val="0"/>
              <w:pageBreakBefore w:val="0"/>
              <w:widowControl/>
              <w:bidi w:val="0"/>
              <w:spacing w:line="240" w:lineRule="auto"/>
              <w:jc w:val="both"/>
              <w:rPr>
                <w:rFonts w:hint="eastAsia" w:ascii="楷体" w:hAnsi="楷体" w:eastAsia="楷体" w:cs="楷体"/>
                <w:sz w:val="20"/>
                <w:szCs w:val="20"/>
                <w:highlight w:val="none"/>
                <w:lang w:val="en-US" w:eastAsia="zh-CN"/>
              </w:rPr>
            </w:pPr>
            <w:r>
              <w:rPr>
                <w:rFonts w:hint="eastAsia" w:ascii="楷体" w:hAnsi="楷体" w:eastAsia="楷体" w:cs="楷体"/>
                <w:color w:val="000000"/>
                <w:sz w:val="20"/>
                <w:szCs w:val="20"/>
                <w:highlight w:val="none"/>
                <w:lang w:val="en-US" w:eastAsia="zh-CN"/>
              </w:rPr>
              <w:t>（49）江苏宜兴农村商业银行股份有限公司：JS份额</w:t>
            </w:r>
          </w:p>
          <w:p>
            <w:pPr>
              <w:keepNext w:val="0"/>
              <w:keepLines w:val="0"/>
              <w:pageBreakBefore w:val="0"/>
              <w:widowControl/>
              <w:bidi w:val="0"/>
              <w:spacing w:line="240" w:lineRule="auto"/>
              <w:jc w:val="both"/>
              <w:rPr>
                <w:rFonts w:hint="eastAsia" w:ascii="楷体" w:hAnsi="楷体" w:eastAsia="楷体" w:cs="楷体"/>
                <w:sz w:val="20"/>
                <w:szCs w:val="20"/>
                <w:highlight w:val="none"/>
                <w:lang w:val="en-US" w:eastAsia="zh-CN"/>
              </w:rPr>
            </w:pPr>
            <w:r>
              <w:rPr>
                <w:rFonts w:hint="eastAsia" w:ascii="楷体" w:hAnsi="楷体" w:eastAsia="楷体" w:cs="楷体"/>
                <w:color w:val="000000"/>
                <w:sz w:val="20"/>
                <w:szCs w:val="20"/>
                <w:highlight w:val="none"/>
                <w:lang w:val="en-US" w:eastAsia="zh-CN"/>
              </w:rPr>
              <w:t>（50）江苏银行股份有限公司：A份额、C份额、E份额</w:t>
            </w:r>
          </w:p>
          <w:p>
            <w:pPr>
              <w:keepNext w:val="0"/>
              <w:keepLines w:val="0"/>
              <w:pageBreakBefore w:val="0"/>
              <w:widowControl/>
              <w:bidi w:val="0"/>
              <w:spacing w:line="240" w:lineRule="auto"/>
              <w:jc w:val="both"/>
              <w:rPr>
                <w:rFonts w:hint="eastAsia" w:ascii="楷体" w:hAnsi="楷体" w:eastAsia="楷体" w:cs="楷体"/>
                <w:sz w:val="20"/>
                <w:szCs w:val="20"/>
                <w:highlight w:val="none"/>
                <w:lang w:val="en-US" w:eastAsia="zh-CN"/>
              </w:rPr>
            </w:pPr>
            <w:r>
              <w:rPr>
                <w:rFonts w:hint="eastAsia" w:ascii="楷体" w:hAnsi="楷体" w:eastAsia="楷体" w:cs="楷体"/>
                <w:color w:val="000000"/>
                <w:sz w:val="20"/>
                <w:szCs w:val="20"/>
                <w:highlight w:val="none"/>
                <w:lang w:val="en-US" w:eastAsia="zh-CN"/>
              </w:rPr>
              <w:t>（51）江苏张家港农村商业银行股份有限公司：JS份额</w:t>
            </w:r>
          </w:p>
          <w:p>
            <w:pPr>
              <w:keepNext w:val="0"/>
              <w:keepLines w:val="0"/>
              <w:pageBreakBefore w:val="0"/>
              <w:widowControl/>
              <w:bidi w:val="0"/>
              <w:spacing w:line="240" w:lineRule="auto"/>
              <w:jc w:val="both"/>
              <w:rPr>
                <w:rFonts w:hint="eastAsia" w:ascii="楷体" w:hAnsi="楷体" w:eastAsia="楷体" w:cs="楷体"/>
                <w:sz w:val="20"/>
                <w:szCs w:val="20"/>
                <w:highlight w:val="none"/>
                <w:lang w:val="en-US" w:eastAsia="zh-CN"/>
              </w:rPr>
            </w:pPr>
            <w:r>
              <w:rPr>
                <w:rFonts w:hint="eastAsia" w:ascii="楷体" w:hAnsi="楷体" w:eastAsia="楷体" w:cs="楷体"/>
                <w:color w:val="000000"/>
                <w:sz w:val="20"/>
                <w:szCs w:val="20"/>
                <w:highlight w:val="none"/>
                <w:lang w:val="en-US" w:eastAsia="zh-CN"/>
              </w:rPr>
              <w:t>（52）江苏镇江农村商业银行股份有限公司：JS份额</w:t>
            </w:r>
          </w:p>
          <w:p>
            <w:pPr>
              <w:keepNext w:val="0"/>
              <w:keepLines w:val="0"/>
              <w:pageBreakBefore w:val="0"/>
              <w:widowControl/>
              <w:bidi w:val="0"/>
              <w:spacing w:line="240" w:lineRule="auto"/>
              <w:jc w:val="both"/>
              <w:rPr>
                <w:rFonts w:hint="eastAsia" w:ascii="楷体" w:hAnsi="楷体" w:eastAsia="楷体" w:cs="楷体"/>
                <w:sz w:val="20"/>
                <w:szCs w:val="20"/>
                <w:highlight w:val="none"/>
                <w:lang w:val="en-US" w:eastAsia="zh-CN"/>
              </w:rPr>
            </w:pPr>
            <w:r>
              <w:rPr>
                <w:rFonts w:hint="eastAsia" w:ascii="楷体" w:hAnsi="楷体" w:eastAsia="楷体" w:cs="楷体"/>
                <w:color w:val="000000"/>
                <w:sz w:val="20"/>
                <w:szCs w:val="20"/>
                <w:highlight w:val="none"/>
                <w:lang w:val="en-US" w:eastAsia="zh-CN"/>
              </w:rPr>
              <w:t>（53）江苏紫金农村商业银行股份有限公司：JS份额</w:t>
            </w:r>
          </w:p>
          <w:p>
            <w:pPr>
              <w:keepNext w:val="0"/>
              <w:keepLines w:val="0"/>
              <w:pageBreakBefore w:val="0"/>
              <w:widowControl/>
              <w:bidi w:val="0"/>
              <w:spacing w:line="240" w:lineRule="auto"/>
              <w:jc w:val="both"/>
              <w:rPr>
                <w:rFonts w:hint="eastAsia" w:ascii="楷体" w:hAnsi="楷体" w:eastAsia="楷体" w:cs="楷体"/>
                <w:sz w:val="20"/>
                <w:szCs w:val="20"/>
                <w:highlight w:val="none"/>
                <w:lang w:val="en-US" w:eastAsia="zh-CN"/>
              </w:rPr>
            </w:pPr>
            <w:r>
              <w:rPr>
                <w:rFonts w:hint="eastAsia" w:ascii="楷体" w:hAnsi="楷体" w:eastAsia="楷体" w:cs="楷体"/>
                <w:color w:val="000000"/>
                <w:sz w:val="20"/>
                <w:szCs w:val="20"/>
                <w:highlight w:val="none"/>
                <w:lang w:val="en-US" w:eastAsia="zh-CN"/>
              </w:rPr>
              <w:t>（54）江苏邳州农村商业银行股份有限公司：JS份额</w:t>
            </w:r>
          </w:p>
          <w:p>
            <w:pPr>
              <w:keepNext w:val="0"/>
              <w:keepLines w:val="0"/>
              <w:pageBreakBefore w:val="0"/>
              <w:widowControl/>
              <w:bidi w:val="0"/>
              <w:spacing w:line="240" w:lineRule="auto"/>
              <w:jc w:val="both"/>
              <w:rPr>
                <w:rFonts w:hint="eastAsia" w:ascii="楷体" w:hAnsi="楷体" w:eastAsia="楷体" w:cs="楷体"/>
                <w:sz w:val="20"/>
                <w:szCs w:val="20"/>
                <w:highlight w:val="none"/>
                <w:lang w:val="en-US" w:eastAsia="zh-CN"/>
              </w:rPr>
            </w:pPr>
            <w:r>
              <w:rPr>
                <w:rFonts w:hint="eastAsia" w:ascii="楷体" w:hAnsi="楷体" w:eastAsia="楷体" w:cs="楷体"/>
                <w:color w:val="000000"/>
                <w:sz w:val="20"/>
                <w:szCs w:val="20"/>
                <w:highlight w:val="none"/>
                <w:lang w:val="en-US" w:eastAsia="zh-CN"/>
              </w:rPr>
              <w:t>（55）江苏沭阳农村商业银行股份有限公司：JS份额</w:t>
            </w:r>
          </w:p>
          <w:p>
            <w:pPr>
              <w:keepNext w:val="0"/>
              <w:keepLines w:val="0"/>
              <w:pageBreakBefore w:val="0"/>
              <w:widowControl/>
              <w:bidi w:val="0"/>
              <w:spacing w:line="240" w:lineRule="auto"/>
              <w:jc w:val="both"/>
              <w:rPr>
                <w:rFonts w:hint="eastAsia" w:ascii="楷体" w:hAnsi="楷体" w:eastAsia="楷体" w:cs="楷体"/>
                <w:sz w:val="20"/>
                <w:szCs w:val="20"/>
                <w:highlight w:val="none"/>
                <w:lang w:val="en-US" w:eastAsia="zh-CN"/>
              </w:rPr>
            </w:pPr>
            <w:r>
              <w:rPr>
                <w:rFonts w:hint="eastAsia" w:ascii="楷体" w:hAnsi="楷体" w:eastAsia="楷体" w:cs="楷体"/>
                <w:color w:val="000000"/>
                <w:sz w:val="20"/>
                <w:szCs w:val="20"/>
                <w:highlight w:val="none"/>
                <w:lang w:val="en-US" w:eastAsia="zh-CN"/>
              </w:rPr>
              <w:t>（56）江苏泗洪农村商业银行股份有限公司：JS份额</w:t>
            </w:r>
          </w:p>
          <w:p>
            <w:pPr>
              <w:keepNext w:val="0"/>
              <w:keepLines w:val="0"/>
              <w:pageBreakBefore w:val="0"/>
              <w:widowControl/>
              <w:bidi w:val="0"/>
              <w:spacing w:line="240" w:lineRule="auto"/>
              <w:jc w:val="both"/>
              <w:rPr>
                <w:rFonts w:hint="eastAsia" w:ascii="楷体" w:hAnsi="楷体" w:eastAsia="楷体" w:cs="楷体"/>
                <w:sz w:val="20"/>
                <w:szCs w:val="20"/>
                <w:highlight w:val="none"/>
                <w:lang w:val="en-US" w:eastAsia="zh-CN"/>
              </w:rPr>
            </w:pPr>
            <w:r>
              <w:rPr>
                <w:rFonts w:hint="eastAsia" w:ascii="楷体" w:hAnsi="楷体" w:eastAsia="楷体" w:cs="楷体"/>
                <w:color w:val="000000"/>
                <w:sz w:val="20"/>
                <w:szCs w:val="20"/>
                <w:highlight w:val="none"/>
                <w:lang w:val="en-US" w:eastAsia="zh-CN"/>
              </w:rPr>
              <w:t>（57）江苏泗阳农村商业银行股份有限公司：JS份额</w:t>
            </w:r>
          </w:p>
          <w:p>
            <w:pPr>
              <w:keepNext w:val="0"/>
              <w:keepLines w:val="0"/>
              <w:pageBreakBefore w:val="0"/>
              <w:widowControl/>
              <w:bidi w:val="0"/>
              <w:spacing w:line="240" w:lineRule="auto"/>
              <w:jc w:val="both"/>
              <w:rPr>
                <w:rFonts w:hint="eastAsia" w:ascii="楷体" w:hAnsi="楷体" w:eastAsia="楷体" w:cs="楷体"/>
                <w:sz w:val="20"/>
                <w:szCs w:val="20"/>
                <w:highlight w:val="none"/>
                <w:lang w:val="en-US" w:eastAsia="zh-CN"/>
              </w:rPr>
            </w:pPr>
            <w:r>
              <w:rPr>
                <w:rFonts w:hint="eastAsia" w:ascii="楷体" w:hAnsi="楷体" w:eastAsia="楷体" w:cs="楷体"/>
                <w:color w:val="000000"/>
                <w:sz w:val="20"/>
                <w:szCs w:val="20"/>
                <w:highlight w:val="none"/>
                <w:lang w:val="en-US" w:eastAsia="zh-CN"/>
              </w:rPr>
              <w:t>（58）江苏溧水农村商业银行股份有限公司：JS份额</w:t>
            </w:r>
          </w:p>
          <w:p>
            <w:pPr>
              <w:keepNext w:val="0"/>
              <w:keepLines w:val="0"/>
              <w:pageBreakBefore w:val="0"/>
              <w:widowControl/>
              <w:bidi w:val="0"/>
              <w:spacing w:line="240" w:lineRule="auto"/>
              <w:jc w:val="both"/>
              <w:rPr>
                <w:rFonts w:hint="eastAsia" w:ascii="楷体" w:hAnsi="楷体" w:eastAsia="楷体" w:cs="楷体"/>
                <w:sz w:val="20"/>
                <w:szCs w:val="20"/>
                <w:highlight w:val="none"/>
                <w:lang w:val="en-US" w:eastAsia="zh-CN"/>
              </w:rPr>
            </w:pPr>
            <w:r>
              <w:rPr>
                <w:rFonts w:hint="eastAsia" w:ascii="楷体" w:hAnsi="楷体" w:eastAsia="楷体" w:cs="楷体"/>
                <w:color w:val="000000"/>
                <w:sz w:val="20"/>
                <w:szCs w:val="20"/>
                <w:highlight w:val="none"/>
                <w:lang w:val="en-US" w:eastAsia="zh-CN"/>
              </w:rPr>
              <w:t>（59）江苏睢宁农村商业银行股份有限公司：JS份额</w:t>
            </w:r>
          </w:p>
          <w:p>
            <w:pPr>
              <w:keepNext w:val="0"/>
              <w:keepLines w:val="0"/>
              <w:pageBreakBefore w:val="0"/>
              <w:widowControl/>
              <w:bidi w:val="0"/>
              <w:spacing w:line="240" w:lineRule="auto"/>
              <w:jc w:val="both"/>
              <w:rPr>
                <w:rFonts w:hint="eastAsia" w:ascii="楷体" w:hAnsi="楷体" w:eastAsia="楷体" w:cs="楷体"/>
                <w:sz w:val="20"/>
                <w:szCs w:val="20"/>
                <w:highlight w:val="none"/>
                <w:lang w:val="en-US" w:eastAsia="zh-CN"/>
              </w:rPr>
            </w:pPr>
            <w:r>
              <w:rPr>
                <w:rFonts w:hint="eastAsia" w:ascii="楷体" w:hAnsi="楷体" w:eastAsia="楷体" w:cs="楷体"/>
                <w:color w:val="000000"/>
                <w:sz w:val="20"/>
                <w:szCs w:val="20"/>
                <w:highlight w:val="none"/>
                <w:lang w:val="en-US" w:eastAsia="zh-CN"/>
              </w:rPr>
              <w:t>（60）晋商银行股份有限公司：L份额</w:t>
            </w:r>
          </w:p>
          <w:p>
            <w:pPr>
              <w:keepNext w:val="0"/>
              <w:keepLines w:val="0"/>
              <w:pageBreakBefore w:val="0"/>
              <w:widowControl/>
              <w:bidi w:val="0"/>
              <w:spacing w:line="240" w:lineRule="auto"/>
              <w:jc w:val="both"/>
              <w:rPr>
                <w:rFonts w:hint="eastAsia" w:ascii="楷体" w:hAnsi="楷体" w:eastAsia="楷体" w:cs="楷体"/>
                <w:sz w:val="20"/>
                <w:szCs w:val="20"/>
                <w:highlight w:val="none"/>
                <w:lang w:val="en-US" w:eastAsia="zh-CN"/>
              </w:rPr>
            </w:pPr>
            <w:r>
              <w:rPr>
                <w:rFonts w:hint="eastAsia" w:ascii="楷体" w:hAnsi="楷体" w:eastAsia="楷体" w:cs="楷体"/>
                <w:color w:val="000000"/>
                <w:sz w:val="20"/>
                <w:szCs w:val="20"/>
                <w:highlight w:val="none"/>
                <w:lang w:val="en-US" w:eastAsia="zh-CN"/>
              </w:rPr>
              <w:t>（61）九江银行股份有限公司：L份额</w:t>
            </w:r>
          </w:p>
          <w:p>
            <w:pPr>
              <w:keepNext w:val="0"/>
              <w:keepLines w:val="0"/>
              <w:pageBreakBefore w:val="0"/>
              <w:widowControl/>
              <w:bidi w:val="0"/>
              <w:spacing w:line="240" w:lineRule="auto"/>
              <w:jc w:val="both"/>
              <w:rPr>
                <w:rFonts w:hint="eastAsia" w:ascii="楷体" w:hAnsi="楷体" w:eastAsia="楷体" w:cs="楷体"/>
                <w:sz w:val="20"/>
                <w:szCs w:val="20"/>
                <w:highlight w:val="none"/>
                <w:lang w:val="en-US" w:eastAsia="zh-CN"/>
              </w:rPr>
            </w:pPr>
            <w:r>
              <w:rPr>
                <w:rFonts w:hint="eastAsia" w:ascii="楷体" w:hAnsi="楷体" w:eastAsia="楷体" w:cs="楷体"/>
                <w:color w:val="000000"/>
                <w:sz w:val="20"/>
                <w:szCs w:val="20"/>
                <w:highlight w:val="none"/>
                <w:lang w:val="en-US" w:eastAsia="zh-CN"/>
              </w:rPr>
              <w:t>（62）莱商银行股份有限公司：F份额</w:t>
            </w:r>
          </w:p>
          <w:p>
            <w:pPr>
              <w:keepNext w:val="0"/>
              <w:keepLines w:val="0"/>
              <w:pageBreakBefore w:val="0"/>
              <w:widowControl/>
              <w:bidi w:val="0"/>
              <w:spacing w:line="240" w:lineRule="auto"/>
              <w:jc w:val="both"/>
              <w:rPr>
                <w:rFonts w:hint="eastAsia" w:ascii="楷体" w:hAnsi="楷体" w:eastAsia="楷体" w:cs="楷体"/>
                <w:sz w:val="20"/>
                <w:szCs w:val="20"/>
                <w:highlight w:val="none"/>
                <w:lang w:val="en-US" w:eastAsia="zh-CN"/>
              </w:rPr>
            </w:pPr>
            <w:r>
              <w:rPr>
                <w:rFonts w:hint="eastAsia" w:ascii="楷体" w:hAnsi="楷体" w:eastAsia="楷体" w:cs="楷体"/>
                <w:color w:val="000000"/>
                <w:sz w:val="20"/>
                <w:szCs w:val="20"/>
                <w:highlight w:val="none"/>
                <w:lang w:val="en-US" w:eastAsia="zh-CN"/>
              </w:rPr>
              <w:t>（63）连云港东方农村商业银行股份有限公司：JS份额</w:t>
            </w:r>
          </w:p>
          <w:p>
            <w:pPr>
              <w:keepNext w:val="0"/>
              <w:keepLines w:val="0"/>
              <w:pageBreakBefore w:val="0"/>
              <w:widowControl/>
              <w:bidi w:val="0"/>
              <w:spacing w:line="240" w:lineRule="auto"/>
              <w:jc w:val="both"/>
              <w:rPr>
                <w:rFonts w:hint="eastAsia" w:ascii="楷体" w:hAnsi="楷体" w:eastAsia="楷体" w:cs="楷体"/>
                <w:sz w:val="20"/>
                <w:szCs w:val="20"/>
                <w:highlight w:val="none"/>
                <w:lang w:val="en-US" w:eastAsia="zh-CN"/>
              </w:rPr>
            </w:pPr>
            <w:r>
              <w:rPr>
                <w:rFonts w:hint="eastAsia" w:ascii="楷体" w:hAnsi="楷体" w:eastAsia="楷体" w:cs="楷体"/>
                <w:color w:val="000000"/>
                <w:sz w:val="20"/>
                <w:szCs w:val="20"/>
                <w:highlight w:val="none"/>
                <w:lang w:val="en-US" w:eastAsia="zh-CN"/>
              </w:rPr>
              <w:t>（64）宁波东海银行股份有限公司：D份额</w:t>
            </w:r>
          </w:p>
          <w:p>
            <w:pPr>
              <w:keepNext w:val="0"/>
              <w:keepLines w:val="0"/>
              <w:pageBreakBefore w:val="0"/>
              <w:widowControl/>
              <w:bidi w:val="0"/>
              <w:spacing w:line="240" w:lineRule="auto"/>
              <w:jc w:val="both"/>
              <w:rPr>
                <w:rFonts w:hint="eastAsia" w:ascii="楷体" w:hAnsi="楷体" w:eastAsia="楷体" w:cs="楷体"/>
                <w:sz w:val="20"/>
                <w:szCs w:val="20"/>
                <w:highlight w:val="none"/>
                <w:lang w:val="en-US" w:eastAsia="zh-CN"/>
              </w:rPr>
            </w:pPr>
            <w:r>
              <w:rPr>
                <w:rFonts w:hint="eastAsia" w:ascii="楷体" w:hAnsi="楷体" w:eastAsia="楷体" w:cs="楷体"/>
                <w:color w:val="000000"/>
                <w:sz w:val="20"/>
                <w:szCs w:val="20"/>
                <w:highlight w:val="none"/>
                <w:lang w:val="en-US" w:eastAsia="zh-CN"/>
              </w:rPr>
              <w:t>（65）宁波通商银行股份有限公司：D份额、E份额</w:t>
            </w:r>
          </w:p>
          <w:p>
            <w:pPr>
              <w:keepNext w:val="0"/>
              <w:keepLines w:val="0"/>
              <w:pageBreakBefore w:val="0"/>
              <w:widowControl/>
              <w:bidi w:val="0"/>
              <w:spacing w:line="240" w:lineRule="auto"/>
              <w:jc w:val="both"/>
              <w:rPr>
                <w:rFonts w:hint="eastAsia" w:ascii="楷体" w:hAnsi="楷体" w:eastAsia="楷体" w:cs="楷体"/>
                <w:sz w:val="20"/>
                <w:szCs w:val="20"/>
                <w:highlight w:val="none"/>
                <w:lang w:val="en-US" w:eastAsia="zh-CN"/>
              </w:rPr>
            </w:pPr>
            <w:r>
              <w:rPr>
                <w:rFonts w:hint="eastAsia" w:ascii="楷体" w:hAnsi="楷体" w:eastAsia="楷体" w:cs="楷体"/>
                <w:color w:val="000000"/>
                <w:sz w:val="20"/>
                <w:szCs w:val="20"/>
                <w:highlight w:val="none"/>
                <w:lang w:val="en-US" w:eastAsia="zh-CN"/>
              </w:rPr>
              <w:t>（66）宁夏银行股份有限公司：F份额</w:t>
            </w:r>
          </w:p>
          <w:p>
            <w:pPr>
              <w:keepNext w:val="0"/>
              <w:keepLines w:val="0"/>
              <w:pageBreakBefore w:val="0"/>
              <w:widowControl/>
              <w:bidi w:val="0"/>
              <w:spacing w:line="240" w:lineRule="auto"/>
              <w:jc w:val="both"/>
              <w:rPr>
                <w:rFonts w:hint="eastAsia" w:ascii="楷体" w:hAnsi="楷体" w:eastAsia="楷体" w:cs="楷体"/>
                <w:sz w:val="20"/>
                <w:szCs w:val="20"/>
                <w:highlight w:val="none"/>
                <w:lang w:val="en-US" w:eastAsia="zh-CN"/>
              </w:rPr>
            </w:pPr>
            <w:r>
              <w:rPr>
                <w:rFonts w:hint="eastAsia" w:ascii="楷体" w:hAnsi="楷体" w:eastAsia="楷体" w:cs="楷体"/>
                <w:color w:val="000000"/>
                <w:sz w:val="20"/>
                <w:szCs w:val="20"/>
                <w:highlight w:val="none"/>
                <w:lang w:val="en-US" w:eastAsia="zh-CN"/>
              </w:rPr>
              <w:t>（67）齐鲁银行股份有限公司：F份额</w:t>
            </w:r>
          </w:p>
          <w:p>
            <w:pPr>
              <w:keepNext w:val="0"/>
              <w:keepLines w:val="0"/>
              <w:pageBreakBefore w:val="0"/>
              <w:widowControl/>
              <w:bidi w:val="0"/>
              <w:spacing w:line="240" w:lineRule="auto"/>
              <w:jc w:val="both"/>
              <w:rPr>
                <w:rFonts w:hint="eastAsia" w:ascii="楷体" w:hAnsi="楷体" w:eastAsia="楷体" w:cs="楷体"/>
                <w:sz w:val="20"/>
                <w:szCs w:val="20"/>
                <w:highlight w:val="none"/>
                <w:lang w:val="en-US" w:eastAsia="zh-CN"/>
              </w:rPr>
            </w:pPr>
            <w:r>
              <w:rPr>
                <w:rFonts w:hint="eastAsia" w:ascii="楷体" w:hAnsi="楷体" w:eastAsia="楷体" w:cs="楷体"/>
                <w:color w:val="000000"/>
                <w:sz w:val="20"/>
                <w:szCs w:val="20"/>
                <w:highlight w:val="none"/>
                <w:lang w:val="en-US" w:eastAsia="zh-CN"/>
              </w:rPr>
              <w:t>（68）秦皇岛银行股份有限公司：F份额</w:t>
            </w:r>
          </w:p>
          <w:p>
            <w:pPr>
              <w:keepNext w:val="0"/>
              <w:keepLines w:val="0"/>
              <w:pageBreakBefore w:val="0"/>
              <w:widowControl/>
              <w:bidi w:val="0"/>
              <w:spacing w:line="240" w:lineRule="auto"/>
              <w:jc w:val="both"/>
              <w:rPr>
                <w:rFonts w:hint="eastAsia" w:ascii="楷体" w:hAnsi="楷体" w:eastAsia="楷体" w:cs="楷体"/>
                <w:sz w:val="20"/>
                <w:szCs w:val="20"/>
                <w:highlight w:val="none"/>
                <w:lang w:val="en-US" w:eastAsia="zh-CN"/>
              </w:rPr>
            </w:pPr>
            <w:r>
              <w:rPr>
                <w:rFonts w:hint="eastAsia" w:ascii="楷体" w:hAnsi="楷体" w:eastAsia="楷体" w:cs="楷体"/>
                <w:color w:val="000000"/>
                <w:sz w:val="20"/>
                <w:szCs w:val="20"/>
                <w:highlight w:val="none"/>
                <w:lang w:val="en-US" w:eastAsia="zh-CN"/>
              </w:rPr>
              <w:t>（69）青岛银行股份有限公司：F份额</w:t>
            </w:r>
          </w:p>
          <w:p>
            <w:pPr>
              <w:keepNext w:val="0"/>
              <w:keepLines w:val="0"/>
              <w:pageBreakBefore w:val="0"/>
              <w:widowControl/>
              <w:bidi w:val="0"/>
              <w:spacing w:line="240" w:lineRule="auto"/>
              <w:jc w:val="both"/>
              <w:rPr>
                <w:rFonts w:hint="eastAsia" w:ascii="楷体" w:hAnsi="楷体" w:eastAsia="楷体" w:cs="楷体"/>
                <w:sz w:val="20"/>
                <w:szCs w:val="20"/>
                <w:highlight w:val="none"/>
                <w:lang w:val="en-US" w:eastAsia="zh-CN"/>
              </w:rPr>
            </w:pPr>
            <w:r>
              <w:rPr>
                <w:rFonts w:hint="eastAsia" w:ascii="楷体" w:hAnsi="楷体" w:eastAsia="楷体" w:cs="楷体"/>
                <w:color w:val="000000"/>
                <w:sz w:val="20"/>
                <w:szCs w:val="20"/>
                <w:highlight w:val="none"/>
                <w:lang w:val="en-US" w:eastAsia="zh-CN"/>
              </w:rPr>
              <w:t>（70）山西银行股份有限公司：P份额</w:t>
            </w:r>
          </w:p>
          <w:p>
            <w:pPr>
              <w:keepNext w:val="0"/>
              <w:keepLines w:val="0"/>
              <w:pageBreakBefore w:val="0"/>
              <w:widowControl/>
              <w:bidi w:val="0"/>
              <w:spacing w:line="240" w:lineRule="auto"/>
              <w:jc w:val="both"/>
              <w:rPr>
                <w:rFonts w:hint="eastAsia" w:ascii="楷体" w:hAnsi="楷体" w:eastAsia="楷体" w:cs="楷体"/>
                <w:sz w:val="20"/>
                <w:szCs w:val="20"/>
                <w:highlight w:val="none"/>
                <w:lang w:val="en-US" w:eastAsia="zh-CN"/>
              </w:rPr>
            </w:pPr>
            <w:r>
              <w:rPr>
                <w:rFonts w:hint="eastAsia" w:ascii="楷体" w:hAnsi="楷体" w:eastAsia="楷体" w:cs="楷体"/>
                <w:color w:val="000000"/>
                <w:sz w:val="20"/>
                <w:szCs w:val="20"/>
                <w:highlight w:val="none"/>
                <w:lang w:val="en-US" w:eastAsia="zh-CN"/>
              </w:rPr>
              <w:t>（71）苏银理财有限责任公司：N份额、G份额</w:t>
            </w:r>
          </w:p>
          <w:p>
            <w:pPr>
              <w:keepNext w:val="0"/>
              <w:keepLines w:val="0"/>
              <w:pageBreakBefore w:val="0"/>
              <w:widowControl/>
              <w:bidi w:val="0"/>
              <w:spacing w:line="240" w:lineRule="auto"/>
              <w:jc w:val="both"/>
              <w:rPr>
                <w:rFonts w:hint="eastAsia" w:ascii="楷体" w:hAnsi="楷体" w:eastAsia="楷体" w:cs="楷体"/>
                <w:sz w:val="20"/>
                <w:szCs w:val="20"/>
                <w:highlight w:val="none"/>
                <w:lang w:val="en-US" w:eastAsia="zh-CN"/>
              </w:rPr>
            </w:pPr>
            <w:r>
              <w:rPr>
                <w:rFonts w:hint="eastAsia" w:ascii="楷体" w:hAnsi="楷体" w:eastAsia="楷体" w:cs="楷体"/>
                <w:color w:val="000000"/>
                <w:sz w:val="20"/>
                <w:szCs w:val="20"/>
                <w:highlight w:val="none"/>
                <w:lang w:val="en-US" w:eastAsia="zh-CN"/>
              </w:rPr>
              <w:t>（72）威海银行股份有限公司：F份额</w:t>
            </w:r>
          </w:p>
          <w:p>
            <w:pPr>
              <w:keepNext w:val="0"/>
              <w:keepLines w:val="0"/>
              <w:pageBreakBefore w:val="0"/>
              <w:widowControl/>
              <w:bidi w:val="0"/>
              <w:spacing w:line="240" w:lineRule="auto"/>
              <w:jc w:val="both"/>
              <w:rPr>
                <w:rFonts w:hint="eastAsia" w:ascii="楷体" w:hAnsi="楷体" w:eastAsia="楷体" w:cs="楷体"/>
                <w:sz w:val="20"/>
                <w:szCs w:val="20"/>
                <w:highlight w:val="none"/>
                <w:lang w:val="en-US" w:eastAsia="zh-CN"/>
              </w:rPr>
            </w:pPr>
            <w:r>
              <w:rPr>
                <w:rFonts w:hint="eastAsia" w:ascii="楷体" w:hAnsi="楷体" w:eastAsia="楷体" w:cs="楷体"/>
                <w:color w:val="000000"/>
                <w:sz w:val="20"/>
                <w:szCs w:val="20"/>
                <w:highlight w:val="none"/>
                <w:lang w:val="en-US" w:eastAsia="zh-CN"/>
              </w:rPr>
              <w:t>（73）武汉农村商业银行股份有限公司：M份额、O份额</w:t>
            </w:r>
          </w:p>
          <w:p>
            <w:pPr>
              <w:keepNext w:val="0"/>
              <w:keepLines w:val="0"/>
              <w:pageBreakBefore w:val="0"/>
              <w:widowControl/>
              <w:bidi w:val="0"/>
              <w:spacing w:line="240" w:lineRule="auto"/>
              <w:jc w:val="both"/>
              <w:rPr>
                <w:rFonts w:hint="eastAsia" w:ascii="楷体" w:hAnsi="楷体" w:eastAsia="楷体" w:cs="楷体"/>
                <w:sz w:val="20"/>
                <w:szCs w:val="20"/>
                <w:highlight w:val="none"/>
                <w:lang w:val="en-US" w:eastAsia="zh-CN"/>
              </w:rPr>
            </w:pPr>
            <w:r>
              <w:rPr>
                <w:rFonts w:hint="eastAsia" w:ascii="楷体" w:hAnsi="楷体" w:eastAsia="楷体" w:cs="楷体"/>
                <w:color w:val="000000"/>
                <w:sz w:val="20"/>
                <w:szCs w:val="20"/>
                <w:highlight w:val="none"/>
                <w:lang w:val="en-US" w:eastAsia="zh-CN"/>
              </w:rPr>
              <w:t>（74）兴业银行股份有限公司：I份额</w:t>
            </w:r>
          </w:p>
          <w:p>
            <w:pPr>
              <w:keepNext w:val="0"/>
              <w:keepLines w:val="0"/>
              <w:pageBreakBefore w:val="0"/>
              <w:widowControl/>
              <w:bidi w:val="0"/>
              <w:spacing w:line="240" w:lineRule="auto"/>
              <w:jc w:val="both"/>
              <w:rPr>
                <w:rFonts w:hint="eastAsia" w:ascii="楷体" w:hAnsi="楷体" w:eastAsia="楷体" w:cs="楷体"/>
                <w:sz w:val="20"/>
                <w:szCs w:val="20"/>
                <w:highlight w:val="none"/>
                <w:lang w:val="en-US" w:eastAsia="zh-CN"/>
              </w:rPr>
            </w:pPr>
            <w:r>
              <w:rPr>
                <w:rFonts w:hint="eastAsia" w:ascii="楷体" w:hAnsi="楷体" w:eastAsia="楷体" w:cs="楷体"/>
                <w:color w:val="000000"/>
                <w:sz w:val="20"/>
                <w:szCs w:val="20"/>
                <w:highlight w:val="none"/>
                <w:lang w:val="en-US" w:eastAsia="zh-CN"/>
              </w:rPr>
              <w:t>（75）徐州农村商业银行股份有限公司：JS份额</w:t>
            </w:r>
          </w:p>
          <w:p>
            <w:pPr>
              <w:keepNext w:val="0"/>
              <w:keepLines w:val="0"/>
              <w:pageBreakBefore w:val="0"/>
              <w:widowControl/>
              <w:bidi w:val="0"/>
              <w:spacing w:line="240" w:lineRule="auto"/>
              <w:jc w:val="both"/>
              <w:rPr>
                <w:rFonts w:hint="eastAsia" w:ascii="楷体" w:hAnsi="楷体" w:eastAsia="楷体" w:cs="楷体"/>
                <w:sz w:val="20"/>
                <w:szCs w:val="20"/>
                <w:highlight w:val="none"/>
                <w:lang w:val="en-US" w:eastAsia="zh-CN"/>
              </w:rPr>
            </w:pPr>
            <w:r>
              <w:rPr>
                <w:rFonts w:hint="eastAsia" w:ascii="楷体" w:hAnsi="楷体" w:eastAsia="楷体" w:cs="楷体"/>
                <w:color w:val="000000"/>
                <w:sz w:val="20"/>
                <w:szCs w:val="20"/>
                <w:highlight w:val="none"/>
                <w:lang w:val="en-US" w:eastAsia="zh-CN"/>
              </w:rPr>
              <w:t>（76）浙江淳安农村商业银行股份有限公司：J份额</w:t>
            </w:r>
          </w:p>
          <w:p>
            <w:pPr>
              <w:keepNext w:val="0"/>
              <w:keepLines w:val="0"/>
              <w:pageBreakBefore w:val="0"/>
              <w:widowControl/>
              <w:bidi w:val="0"/>
              <w:spacing w:line="240" w:lineRule="auto"/>
              <w:jc w:val="both"/>
              <w:rPr>
                <w:rFonts w:hint="eastAsia" w:ascii="楷体" w:hAnsi="楷体" w:eastAsia="楷体" w:cs="楷体"/>
                <w:sz w:val="20"/>
                <w:szCs w:val="20"/>
                <w:highlight w:val="none"/>
                <w:lang w:val="en-US" w:eastAsia="zh-CN"/>
              </w:rPr>
            </w:pPr>
            <w:r>
              <w:rPr>
                <w:rFonts w:hint="eastAsia" w:ascii="楷体" w:hAnsi="楷体" w:eastAsia="楷体" w:cs="楷体"/>
                <w:color w:val="000000"/>
                <w:sz w:val="20"/>
                <w:szCs w:val="20"/>
                <w:highlight w:val="none"/>
                <w:lang w:val="en-US" w:eastAsia="zh-CN"/>
              </w:rPr>
              <w:t>（77）浙江德清农村商业银行股份有限公司：J份额</w:t>
            </w:r>
          </w:p>
          <w:p>
            <w:pPr>
              <w:keepNext w:val="0"/>
              <w:keepLines w:val="0"/>
              <w:pageBreakBefore w:val="0"/>
              <w:widowControl/>
              <w:bidi w:val="0"/>
              <w:spacing w:line="240" w:lineRule="auto"/>
              <w:jc w:val="both"/>
              <w:rPr>
                <w:rFonts w:hint="eastAsia" w:ascii="楷体" w:hAnsi="楷体" w:eastAsia="楷体" w:cs="楷体"/>
                <w:sz w:val="20"/>
                <w:szCs w:val="20"/>
                <w:highlight w:val="none"/>
                <w:lang w:val="en-US" w:eastAsia="zh-CN"/>
              </w:rPr>
            </w:pPr>
            <w:r>
              <w:rPr>
                <w:rFonts w:hint="eastAsia" w:ascii="楷体" w:hAnsi="楷体" w:eastAsia="楷体" w:cs="楷体"/>
                <w:color w:val="000000"/>
                <w:sz w:val="20"/>
                <w:szCs w:val="20"/>
                <w:highlight w:val="none"/>
                <w:lang w:val="en-US" w:eastAsia="zh-CN"/>
              </w:rPr>
              <w:t>（78）浙江海宁农村商业银行股份有限公司：K份额、N份额、G份额</w:t>
            </w:r>
          </w:p>
          <w:p>
            <w:pPr>
              <w:keepNext w:val="0"/>
              <w:keepLines w:val="0"/>
              <w:pageBreakBefore w:val="0"/>
              <w:widowControl/>
              <w:bidi w:val="0"/>
              <w:spacing w:line="240" w:lineRule="auto"/>
              <w:jc w:val="both"/>
              <w:rPr>
                <w:rFonts w:hint="eastAsia" w:ascii="楷体" w:hAnsi="楷体" w:eastAsia="楷体" w:cs="楷体"/>
                <w:sz w:val="20"/>
                <w:szCs w:val="20"/>
                <w:highlight w:val="none"/>
                <w:lang w:val="en-US" w:eastAsia="zh-CN"/>
              </w:rPr>
            </w:pPr>
            <w:r>
              <w:rPr>
                <w:rFonts w:hint="eastAsia" w:ascii="楷体" w:hAnsi="楷体" w:eastAsia="楷体" w:cs="楷体"/>
                <w:color w:val="000000"/>
                <w:sz w:val="20"/>
                <w:szCs w:val="20"/>
                <w:highlight w:val="none"/>
                <w:lang w:val="en-US" w:eastAsia="zh-CN"/>
              </w:rPr>
              <w:t>（79）浙江海盐农村商业银行股份有限公司：K份额</w:t>
            </w:r>
          </w:p>
          <w:p>
            <w:pPr>
              <w:keepNext w:val="0"/>
              <w:keepLines w:val="0"/>
              <w:pageBreakBefore w:val="0"/>
              <w:widowControl/>
              <w:bidi w:val="0"/>
              <w:spacing w:line="240" w:lineRule="auto"/>
              <w:jc w:val="both"/>
              <w:rPr>
                <w:rFonts w:hint="eastAsia" w:ascii="楷体" w:hAnsi="楷体" w:eastAsia="楷体" w:cs="楷体"/>
                <w:sz w:val="20"/>
                <w:szCs w:val="20"/>
                <w:highlight w:val="none"/>
                <w:lang w:val="en-US" w:eastAsia="zh-CN"/>
              </w:rPr>
            </w:pPr>
            <w:r>
              <w:rPr>
                <w:rFonts w:hint="eastAsia" w:ascii="楷体" w:hAnsi="楷体" w:eastAsia="楷体" w:cs="楷体"/>
                <w:color w:val="000000"/>
                <w:sz w:val="20"/>
                <w:szCs w:val="20"/>
                <w:highlight w:val="none"/>
                <w:lang w:val="en-US" w:eastAsia="zh-CN"/>
              </w:rPr>
              <w:t>（80）浙江杭州余杭农村商业银行股份有限公司：J份额</w:t>
            </w:r>
          </w:p>
          <w:p>
            <w:pPr>
              <w:keepNext w:val="0"/>
              <w:keepLines w:val="0"/>
              <w:pageBreakBefore w:val="0"/>
              <w:widowControl/>
              <w:bidi w:val="0"/>
              <w:spacing w:line="240" w:lineRule="auto"/>
              <w:jc w:val="both"/>
              <w:rPr>
                <w:rFonts w:hint="eastAsia" w:ascii="楷体" w:hAnsi="楷体" w:eastAsia="楷体" w:cs="楷体"/>
                <w:sz w:val="20"/>
                <w:szCs w:val="20"/>
                <w:highlight w:val="none"/>
                <w:lang w:val="en-US" w:eastAsia="zh-CN"/>
              </w:rPr>
            </w:pPr>
            <w:r>
              <w:rPr>
                <w:rFonts w:hint="eastAsia" w:ascii="楷体" w:hAnsi="楷体" w:eastAsia="楷体" w:cs="楷体"/>
                <w:color w:val="000000"/>
                <w:sz w:val="20"/>
                <w:szCs w:val="20"/>
                <w:highlight w:val="none"/>
                <w:lang w:val="en-US" w:eastAsia="zh-CN"/>
              </w:rPr>
              <w:t>（81）浙江禾城农村商业银行股份有限公司：J份额</w:t>
            </w:r>
          </w:p>
          <w:p>
            <w:pPr>
              <w:keepNext w:val="0"/>
              <w:keepLines w:val="0"/>
              <w:pageBreakBefore w:val="0"/>
              <w:widowControl/>
              <w:bidi w:val="0"/>
              <w:spacing w:line="240" w:lineRule="auto"/>
              <w:jc w:val="both"/>
              <w:rPr>
                <w:rFonts w:hint="eastAsia" w:ascii="楷体" w:hAnsi="楷体" w:eastAsia="楷体" w:cs="楷体"/>
                <w:sz w:val="20"/>
                <w:szCs w:val="20"/>
                <w:highlight w:val="none"/>
                <w:lang w:val="en-US" w:eastAsia="zh-CN"/>
              </w:rPr>
            </w:pPr>
            <w:r>
              <w:rPr>
                <w:rFonts w:hint="eastAsia" w:ascii="楷体" w:hAnsi="楷体" w:eastAsia="楷体" w:cs="楷体"/>
                <w:color w:val="000000"/>
                <w:sz w:val="20"/>
                <w:szCs w:val="20"/>
                <w:highlight w:val="none"/>
                <w:lang w:val="en-US" w:eastAsia="zh-CN"/>
              </w:rPr>
              <w:t>（82）浙江嘉善农村商业银行股份有限公司：J份额</w:t>
            </w:r>
          </w:p>
          <w:p>
            <w:pPr>
              <w:keepNext w:val="0"/>
              <w:keepLines w:val="0"/>
              <w:pageBreakBefore w:val="0"/>
              <w:widowControl/>
              <w:bidi w:val="0"/>
              <w:spacing w:line="240" w:lineRule="auto"/>
              <w:jc w:val="both"/>
              <w:rPr>
                <w:rFonts w:hint="eastAsia" w:ascii="楷体" w:hAnsi="楷体" w:eastAsia="楷体" w:cs="楷体"/>
                <w:sz w:val="20"/>
                <w:szCs w:val="20"/>
                <w:highlight w:val="none"/>
                <w:lang w:val="en-US" w:eastAsia="zh-CN"/>
              </w:rPr>
            </w:pPr>
            <w:r>
              <w:rPr>
                <w:rFonts w:hint="eastAsia" w:ascii="楷体" w:hAnsi="楷体" w:eastAsia="楷体" w:cs="楷体"/>
                <w:color w:val="000000"/>
                <w:sz w:val="20"/>
                <w:szCs w:val="20"/>
                <w:highlight w:val="none"/>
                <w:lang w:val="en-US" w:eastAsia="zh-CN"/>
              </w:rPr>
              <w:t>（83）浙江江山农村商业银行股份有限公司：J份额、K份额</w:t>
            </w:r>
          </w:p>
          <w:p>
            <w:pPr>
              <w:keepNext w:val="0"/>
              <w:keepLines w:val="0"/>
              <w:pageBreakBefore w:val="0"/>
              <w:widowControl/>
              <w:bidi w:val="0"/>
              <w:spacing w:line="240" w:lineRule="auto"/>
              <w:jc w:val="both"/>
              <w:rPr>
                <w:rFonts w:hint="eastAsia" w:ascii="楷体" w:hAnsi="楷体" w:eastAsia="楷体" w:cs="楷体"/>
                <w:sz w:val="20"/>
                <w:szCs w:val="20"/>
                <w:highlight w:val="none"/>
                <w:lang w:val="en-US" w:eastAsia="zh-CN"/>
              </w:rPr>
            </w:pPr>
            <w:r>
              <w:rPr>
                <w:rFonts w:hint="eastAsia" w:ascii="楷体" w:hAnsi="楷体" w:eastAsia="楷体" w:cs="楷体"/>
                <w:color w:val="000000"/>
                <w:sz w:val="20"/>
                <w:szCs w:val="20"/>
                <w:highlight w:val="none"/>
                <w:lang w:val="en-US" w:eastAsia="zh-CN"/>
              </w:rPr>
              <w:t>（84）浙江兰溪农村商业银行股份有限公司：J份额、K份额</w:t>
            </w:r>
          </w:p>
          <w:p>
            <w:pPr>
              <w:keepNext w:val="0"/>
              <w:keepLines w:val="0"/>
              <w:pageBreakBefore w:val="0"/>
              <w:widowControl/>
              <w:bidi w:val="0"/>
              <w:spacing w:line="240" w:lineRule="auto"/>
              <w:jc w:val="both"/>
              <w:rPr>
                <w:rFonts w:hint="eastAsia" w:ascii="楷体" w:hAnsi="楷体" w:eastAsia="楷体" w:cs="楷体"/>
                <w:sz w:val="20"/>
                <w:szCs w:val="20"/>
                <w:highlight w:val="none"/>
                <w:lang w:val="en-US" w:eastAsia="zh-CN"/>
              </w:rPr>
            </w:pPr>
            <w:r>
              <w:rPr>
                <w:rFonts w:hint="eastAsia" w:ascii="楷体" w:hAnsi="楷体" w:eastAsia="楷体" w:cs="楷体"/>
                <w:color w:val="000000"/>
                <w:sz w:val="20"/>
                <w:szCs w:val="20"/>
                <w:highlight w:val="none"/>
                <w:lang w:val="en-US" w:eastAsia="zh-CN"/>
              </w:rPr>
              <w:t>（85）浙江乐清农村商业银行股份有限公司：J份额</w:t>
            </w:r>
          </w:p>
          <w:p>
            <w:pPr>
              <w:keepNext w:val="0"/>
              <w:keepLines w:val="0"/>
              <w:pageBreakBefore w:val="0"/>
              <w:widowControl/>
              <w:bidi w:val="0"/>
              <w:spacing w:line="240" w:lineRule="auto"/>
              <w:jc w:val="both"/>
              <w:rPr>
                <w:rFonts w:hint="eastAsia" w:ascii="楷体" w:hAnsi="楷体" w:eastAsia="楷体" w:cs="楷体"/>
                <w:sz w:val="20"/>
                <w:szCs w:val="20"/>
                <w:highlight w:val="none"/>
                <w:lang w:val="en-US" w:eastAsia="zh-CN"/>
              </w:rPr>
            </w:pPr>
            <w:r>
              <w:rPr>
                <w:rFonts w:hint="eastAsia" w:ascii="楷体" w:hAnsi="楷体" w:eastAsia="楷体" w:cs="楷体"/>
                <w:color w:val="000000"/>
                <w:sz w:val="20"/>
                <w:szCs w:val="20"/>
                <w:highlight w:val="none"/>
                <w:lang w:val="en-US" w:eastAsia="zh-CN"/>
              </w:rPr>
              <w:t>（86）浙江龙游农村商业银行股份有限公司：K份额</w:t>
            </w:r>
          </w:p>
          <w:p>
            <w:pPr>
              <w:keepNext w:val="0"/>
              <w:keepLines w:val="0"/>
              <w:pageBreakBefore w:val="0"/>
              <w:widowControl/>
              <w:bidi w:val="0"/>
              <w:spacing w:line="240" w:lineRule="auto"/>
              <w:jc w:val="both"/>
              <w:rPr>
                <w:rFonts w:hint="eastAsia" w:ascii="楷体" w:hAnsi="楷体" w:eastAsia="楷体" w:cs="楷体"/>
                <w:sz w:val="20"/>
                <w:szCs w:val="20"/>
                <w:highlight w:val="none"/>
                <w:lang w:val="en-US" w:eastAsia="zh-CN"/>
              </w:rPr>
            </w:pPr>
            <w:r>
              <w:rPr>
                <w:rFonts w:hint="eastAsia" w:ascii="楷体" w:hAnsi="楷体" w:eastAsia="楷体" w:cs="楷体"/>
                <w:color w:val="000000"/>
                <w:sz w:val="20"/>
                <w:szCs w:val="20"/>
                <w:highlight w:val="none"/>
                <w:lang w:val="en-US" w:eastAsia="zh-CN"/>
              </w:rPr>
              <w:t>（87）浙江平湖农村商业银行股份有限公司：J份额、K份额</w:t>
            </w:r>
          </w:p>
          <w:p>
            <w:pPr>
              <w:keepNext w:val="0"/>
              <w:keepLines w:val="0"/>
              <w:pageBreakBefore w:val="0"/>
              <w:widowControl/>
              <w:bidi w:val="0"/>
              <w:spacing w:line="240" w:lineRule="auto"/>
              <w:jc w:val="both"/>
              <w:rPr>
                <w:rFonts w:hint="eastAsia" w:ascii="楷体" w:hAnsi="楷体" w:eastAsia="楷体" w:cs="楷体"/>
                <w:sz w:val="20"/>
                <w:szCs w:val="20"/>
                <w:highlight w:val="none"/>
                <w:lang w:val="en-US" w:eastAsia="zh-CN"/>
              </w:rPr>
            </w:pPr>
            <w:r>
              <w:rPr>
                <w:rFonts w:hint="eastAsia" w:ascii="楷体" w:hAnsi="楷体" w:eastAsia="楷体" w:cs="楷体"/>
                <w:color w:val="000000"/>
                <w:sz w:val="20"/>
                <w:szCs w:val="20"/>
                <w:highlight w:val="none"/>
                <w:lang w:val="en-US" w:eastAsia="zh-CN"/>
              </w:rPr>
              <w:t>（88）浙江浦江农村商业银行股份有限公司：K份额</w:t>
            </w:r>
          </w:p>
          <w:p>
            <w:pPr>
              <w:keepNext w:val="0"/>
              <w:keepLines w:val="0"/>
              <w:pageBreakBefore w:val="0"/>
              <w:widowControl/>
              <w:bidi w:val="0"/>
              <w:spacing w:line="240" w:lineRule="auto"/>
              <w:jc w:val="both"/>
              <w:rPr>
                <w:rFonts w:hint="eastAsia" w:ascii="楷体" w:hAnsi="楷体" w:eastAsia="楷体" w:cs="楷体"/>
                <w:sz w:val="20"/>
                <w:szCs w:val="20"/>
                <w:highlight w:val="none"/>
                <w:lang w:val="en-US" w:eastAsia="zh-CN"/>
              </w:rPr>
            </w:pPr>
            <w:r>
              <w:rPr>
                <w:rFonts w:hint="eastAsia" w:ascii="楷体" w:hAnsi="楷体" w:eastAsia="楷体" w:cs="楷体"/>
                <w:color w:val="000000"/>
                <w:sz w:val="20"/>
                <w:szCs w:val="20"/>
                <w:highlight w:val="none"/>
                <w:lang w:val="en-US" w:eastAsia="zh-CN"/>
              </w:rPr>
              <w:t>（89）浙江青田农村商业银行股份有限公司：J份额</w:t>
            </w:r>
          </w:p>
          <w:p>
            <w:pPr>
              <w:keepNext w:val="0"/>
              <w:keepLines w:val="0"/>
              <w:pageBreakBefore w:val="0"/>
              <w:widowControl/>
              <w:bidi w:val="0"/>
              <w:spacing w:line="240" w:lineRule="auto"/>
              <w:jc w:val="both"/>
              <w:rPr>
                <w:rFonts w:hint="eastAsia" w:ascii="楷体" w:hAnsi="楷体" w:eastAsia="楷体" w:cs="楷体"/>
                <w:sz w:val="20"/>
                <w:szCs w:val="20"/>
                <w:highlight w:val="none"/>
                <w:lang w:val="en-US" w:eastAsia="zh-CN"/>
              </w:rPr>
            </w:pPr>
            <w:r>
              <w:rPr>
                <w:rFonts w:hint="eastAsia" w:ascii="楷体" w:hAnsi="楷体" w:eastAsia="楷体" w:cs="楷体"/>
                <w:color w:val="000000"/>
                <w:sz w:val="20"/>
                <w:szCs w:val="20"/>
                <w:highlight w:val="none"/>
                <w:lang w:val="en-US" w:eastAsia="zh-CN"/>
              </w:rPr>
              <w:t>（90）浙江瑞安农村商业银行股份有限公司：N份额</w:t>
            </w:r>
          </w:p>
          <w:p>
            <w:pPr>
              <w:keepNext w:val="0"/>
              <w:keepLines w:val="0"/>
              <w:pageBreakBefore w:val="0"/>
              <w:widowControl/>
              <w:bidi w:val="0"/>
              <w:spacing w:line="240" w:lineRule="auto"/>
              <w:jc w:val="both"/>
              <w:rPr>
                <w:rFonts w:hint="eastAsia" w:ascii="楷体" w:hAnsi="楷体" w:eastAsia="楷体" w:cs="楷体"/>
                <w:sz w:val="20"/>
                <w:szCs w:val="20"/>
                <w:highlight w:val="none"/>
                <w:lang w:val="en-US" w:eastAsia="zh-CN"/>
              </w:rPr>
            </w:pPr>
            <w:r>
              <w:rPr>
                <w:rFonts w:hint="eastAsia" w:ascii="楷体" w:hAnsi="楷体" w:eastAsia="楷体" w:cs="楷体"/>
                <w:color w:val="000000"/>
                <w:sz w:val="20"/>
                <w:szCs w:val="20"/>
                <w:highlight w:val="none"/>
                <w:lang w:val="en-US" w:eastAsia="zh-CN"/>
              </w:rPr>
              <w:t>（91）浙江上虞农村商业银行股份有限公司：J份额</w:t>
            </w:r>
          </w:p>
          <w:p>
            <w:pPr>
              <w:keepNext w:val="0"/>
              <w:keepLines w:val="0"/>
              <w:pageBreakBefore w:val="0"/>
              <w:widowControl/>
              <w:bidi w:val="0"/>
              <w:spacing w:line="240" w:lineRule="auto"/>
              <w:jc w:val="both"/>
              <w:rPr>
                <w:rFonts w:hint="eastAsia" w:ascii="楷体" w:hAnsi="楷体" w:eastAsia="楷体" w:cs="楷体"/>
                <w:sz w:val="20"/>
                <w:szCs w:val="20"/>
                <w:highlight w:val="none"/>
                <w:lang w:val="en-US" w:eastAsia="zh-CN"/>
              </w:rPr>
            </w:pPr>
            <w:r>
              <w:rPr>
                <w:rFonts w:hint="eastAsia" w:ascii="楷体" w:hAnsi="楷体" w:eastAsia="楷体" w:cs="楷体"/>
                <w:color w:val="000000"/>
                <w:sz w:val="20"/>
                <w:szCs w:val="20"/>
                <w:highlight w:val="none"/>
                <w:lang w:val="en-US" w:eastAsia="zh-CN"/>
              </w:rPr>
              <w:t>（92）浙江绍兴恒信农村商业银行股份有限公司：K份额</w:t>
            </w:r>
          </w:p>
          <w:p>
            <w:pPr>
              <w:keepNext w:val="0"/>
              <w:keepLines w:val="0"/>
              <w:pageBreakBefore w:val="0"/>
              <w:widowControl/>
              <w:bidi w:val="0"/>
              <w:spacing w:line="240" w:lineRule="auto"/>
              <w:jc w:val="both"/>
              <w:rPr>
                <w:rFonts w:hint="eastAsia" w:ascii="楷体" w:hAnsi="楷体" w:eastAsia="楷体" w:cs="楷体"/>
                <w:sz w:val="20"/>
                <w:szCs w:val="20"/>
                <w:highlight w:val="none"/>
                <w:lang w:val="en-US" w:eastAsia="zh-CN"/>
              </w:rPr>
            </w:pPr>
            <w:r>
              <w:rPr>
                <w:rFonts w:hint="eastAsia" w:ascii="楷体" w:hAnsi="楷体" w:eastAsia="楷体" w:cs="楷体"/>
                <w:color w:val="000000"/>
                <w:sz w:val="20"/>
                <w:szCs w:val="20"/>
                <w:highlight w:val="none"/>
                <w:lang w:val="en-US" w:eastAsia="zh-CN"/>
              </w:rPr>
              <w:t>（93）浙江绍兴瑞丰农村商业银行股份有限公司：J份额、K份额</w:t>
            </w:r>
          </w:p>
          <w:p>
            <w:pPr>
              <w:keepNext w:val="0"/>
              <w:keepLines w:val="0"/>
              <w:pageBreakBefore w:val="0"/>
              <w:widowControl/>
              <w:bidi w:val="0"/>
              <w:spacing w:line="240" w:lineRule="auto"/>
              <w:jc w:val="both"/>
              <w:rPr>
                <w:rFonts w:hint="eastAsia" w:ascii="楷体" w:hAnsi="楷体" w:eastAsia="楷体" w:cs="楷体"/>
                <w:sz w:val="20"/>
                <w:szCs w:val="20"/>
                <w:highlight w:val="none"/>
                <w:lang w:val="en-US" w:eastAsia="zh-CN"/>
              </w:rPr>
            </w:pPr>
            <w:r>
              <w:rPr>
                <w:rFonts w:hint="eastAsia" w:ascii="楷体" w:hAnsi="楷体" w:eastAsia="楷体" w:cs="楷体"/>
                <w:color w:val="000000"/>
                <w:sz w:val="20"/>
                <w:szCs w:val="20"/>
                <w:highlight w:val="none"/>
                <w:lang w:val="en-US" w:eastAsia="zh-CN"/>
              </w:rPr>
              <w:t>（94）浙江松阳农村商业银行股份有限公司：J份额</w:t>
            </w:r>
          </w:p>
          <w:p>
            <w:pPr>
              <w:keepNext w:val="0"/>
              <w:keepLines w:val="0"/>
              <w:pageBreakBefore w:val="0"/>
              <w:widowControl/>
              <w:bidi w:val="0"/>
              <w:spacing w:line="240" w:lineRule="auto"/>
              <w:jc w:val="both"/>
              <w:rPr>
                <w:rFonts w:hint="eastAsia" w:ascii="楷体" w:hAnsi="楷体" w:eastAsia="楷体" w:cs="楷体"/>
                <w:sz w:val="20"/>
                <w:szCs w:val="20"/>
                <w:highlight w:val="none"/>
                <w:lang w:val="en-US" w:eastAsia="zh-CN"/>
              </w:rPr>
            </w:pPr>
            <w:r>
              <w:rPr>
                <w:rFonts w:hint="eastAsia" w:ascii="楷体" w:hAnsi="楷体" w:eastAsia="楷体" w:cs="楷体"/>
                <w:color w:val="000000"/>
                <w:sz w:val="20"/>
                <w:szCs w:val="20"/>
                <w:highlight w:val="none"/>
                <w:lang w:val="en-US" w:eastAsia="zh-CN"/>
              </w:rPr>
              <w:t>（95）浙江台州黄岩农村商业银行股份有限公司：J份额</w:t>
            </w:r>
          </w:p>
          <w:p>
            <w:pPr>
              <w:keepNext w:val="0"/>
              <w:keepLines w:val="0"/>
              <w:pageBreakBefore w:val="0"/>
              <w:widowControl/>
              <w:bidi w:val="0"/>
              <w:spacing w:line="240" w:lineRule="auto"/>
              <w:jc w:val="both"/>
              <w:rPr>
                <w:rFonts w:hint="eastAsia" w:ascii="楷体" w:hAnsi="楷体" w:eastAsia="楷体" w:cs="楷体"/>
                <w:sz w:val="20"/>
                <w:szCs w:val="20"/>
                <w:highlight w:val="none"/>
                <w:lang w:val="en-US" w:eastAsia="zh-CN"/>
              </w:rPr>
            </w:pPr>
            <w:r>
              <w:rPr>
                <w:rFonts w:hint="eastAsia" w:ascii="楷体" w:hAnsi="楷体" w:eastAsia="楷体" w:cs="楷体"/>
                <w:color w:val="000000"/>
                <w:sz w:val="20"/>
                <w:szCs w:val="20"/>
                <w:highlight w:val="none"/>
                <w:lang w:val="en-US" w:eastAsia="zh-CN"/>
              </w:rPr>
              <w:t>（96）浙江桐庐农村商业银行股份有限公司：J份额、K份额</w:t>
            </w:r>
          </w:p>
          <w:p>
            <w:pPr>
              <w:keepNext w:val="0"/>
              <w:keepLines w:val="0"/>
              <w:pageBreakBefore w:val="0"/>
              <w:widowControl/>
              <w:bidi w:val="0"/>
              <w:spacing w:line="240" w:lineRule="auto"/>
              <w:jc w:val="both"/>
              <w:rPr>
                <w:rFonts w:hint="eastAsia" w:ascii="楷体" w:hAnsi="楷体" w:eastAsia="楷体" w:cs="楷体"/>
                <w:sz w:val="20"/>
                <w:szCs w:val="20"/>
                <w:highlight w:val="none"/>
                <w:lang w:val="en-US" w:eastAsia="zh-CN"/>
              </w:rPr>
            </w:pPr>
            <w:r>
              <w:rPr>
                <w:rFonts w:hint="eastAsia" w:ascii="楷体" w:hAnsi="楷体" w:eastAsia="楷体" w:cs="楷体"/>
                <w:color w:val="000000"/>
                <w:sz w:val="20"/>
                <w:szCs w:val="20"/>
                <w:highlight w:val="none"/>
                <w:lang w:val="en-US" w:eastAsia="zh-CN"/>
              </w:rPr>
              <w:t>（97）浙江桐乡农村商业银行股份有限公司：J份额</w:t>
            </w:r>
          </w:p>
          <w:p>
            <w:pPr>
              <w:keepNext w:val="0"/>
              <w:keepLines w:val="0"/>
              <w:pageBreakBefore w:val="0"/>
              <w:widowControl/>
              <w:bidi w:val="0"/>
              <w:spacing w:line="240" w:lineRule="auto"/>
              <w:jc w:val="both"/>
              <w:rPr>
                <w:rFonts w:hint="eastAsia" w:ascii="楷体" w:hAnsi="楷体" w:eastAsia="楷体" w:cs="楷体"/>
                <w:sz w:val="20"/>
                <w:szCs w:val="20"/>
                <w:highlight w:val="none"/>
                <w:lang w:val="en-US" w:eastAsia="zh-CN"/>
              </w:rPr>
            </w:pPr>
            <w:r>
              <w:rPr>
                <w:rFonts w:hint="eastAsia" w:ascii="楷体" w:hAnsi="楷体" w:eastAsia="楷体" w:cs="楷体"/>
                <w:color w:val="000000"/>
                <w:sz w:val="20"/>
                <w:szCs w:val="20"/>
                <w:highlight w:val="none"/>
                <w:lang w:val="en-US" w:eastAsia="zh-CN"/>
              </w:rPr>
              <w:t>（98）浙江温岭农村商业银行股份有限公司：N份额</w:t>
            </w:r>
          </w:p>
          <w:p>
            <w:pPr>
              <w:keepNext w:val="0"/>
              <w:keepLines w:val="0"/>
              <w:pageBreakBefore w:val="0"/>
              <w:widowControl/>
              <w:bidi w:val="0"/>
              <w:spacing w:line="240" w:lineRule="auto"/>
              <w:jc w:val="both"/>
              <w:rPr>
                <w:rFonts w:hint="eastAsia" w:ascii="楷体" w:hAnsi="楷体" w:eastAsia="楷体" w:cs="楷体"/>
                <w:sz w:val="20"/>
                <w:szCs w:val="20"/>
                <w:highlight w:val="none"/>
                <w:lang w:val="en-US" w:eastAsia="zh-CN"/>
              </w:rPr>
            </w:pPr>
            <w:r>
              <w:rPr>
                <w:rFonts w:hint="eastAsia" w:ascii="楷体" w:hAnsi="楷体" w:eastAsia="楷体" w:cs="楷体"/>
                <w:color w:val="000000"/>
                <w:sz w:val="20"/>
                <w:szCs w:val="20"/>
                <w:highlight w:val="none"/>
                <w:lang w:val="en-US" w:eastAsia="zh-CN"/>
              </w:rPr>
              <w:t>（99）浙江温州龙湾农村商业银行股份有限公司：J份额</w:t>
            </w:r>
          </w:p>
          <w:p>
            <w:pPr>
              <w:keepNext w:val="0"/>
              <w:keepLines w:val="0"/>
              <w:pageBreakBefore w:val="0"/>
              <w:widowControl/>
              <w:bidi w:val="0"/>
              <w:spacing w:line="240" w:lineRule="auto"/>
              <w:jc w:val="both"/>
              <w:rPr>
                <w:rFonts w:hint="eastAsia" w:ascii="楷体" w:hAnsi="楷体" w:eastAsia="楷体" w:cs="楷体"/>
                <w:sz w:val="20"/>
                <w:szCs w:val="20"/>
                <w:highlight w:val="none"/>
                <w:lang w:val="en-US" w:eastAsia="zh-CN"/>
              </w:rPr>
            </w:pPr>
            <w:r>
              <w:rPr>
                <w:rFonts w:hint="eastAsia" w:ascii="楷体" w:hAnsi="楷体" w:eastAsia="楷体" w:cs="楷体"/>
                <w:color w:val="000000"/>
                <w:sz w:val="20"/>
                <w:szCs w:val="20"/>
                <w:highlight w:val="none"/>
                <w:lang w:val="en-US" w:eastAsia="zh-CN"/>
              </w:rPr>
              <w:t>（100）浙江温州鹿城农村商业银行股份有限公司：J份额</w:t>
            </w:r>
          </w:p>
          <w:p>
            <w:pPr>
              <w:keepNext w:val="0"/>
              <w:keepLines w:val="0"/>
              <w:pageBreakBefore w:val="0"/>
              <w:widowControl/>
              <w:bidi w:val="0"/>
              <w:spacing w:line="240" w:lineRule="auto"/>
              <w:jc w:val="both"/>
              <w:rPr>
                <w:rFonts w:hint="eastAsia" w:ascii="楷体" w:hAnsi="楷体" w:eastAsia="楷体" w:cs="楷体"/>
                <w:sz w:val="20"/>
                <w:szCs w:val="20"/>
                <w:highlight w:val="none"/>
                <w:lang w:val="en-US" w:eastAsia="zh-CN"/>
              </w:rPr>
            </w:pPr>
            <w:r>
              <w:rPr>
                <w:rFonts w:hint="eastAsia" w:ascii="楷体" w:hAnsi="楷体" w:eastAsia="楷体" w:cs="楷体"/>
                <w:color w:val="000000"/>
                <w:sz w:val="20"/>
                <w:szCs w:val="20"/>
                <w:highlight w:val="none"/>
                <w:lang w:val="en-US" w:eastAsia="zh-CN"/>
              </w:rPr>
              <w:t>（101）浙江温州瓯海农村商业银行股份有限公司：J份额</w:t>
            </w:r>
          </w:p>
          <w:p>
            <w:pPr>
              <w:keepNext w:val="0"/>
              <w:keepLines w:val="0"/>
              <w:pageBreakBefore w:val="0"/>
              <w:widowControl/>
              <w:bidi w:val="0"/>
              <w:spacing w:line="240" w:lineRule="auto"/>
              <w:jc w:val="both"/>
              <w:rPr>
                <w:rFonts w:hint="eastAsia" w:ascii="楷体" w:hAnsi="楷体" w:eastAsia="楷体" w:cs="楷体"/>
                <w:sz w:val="20"/>
                <w:szCs w:val="20"/>
                <w:highlight w:val="none"/>
                <w:lang w:val="en-US" w:eastAsia="zh-CN"/>
              </w:rPr>
            </w:pPr>
            <w:r>
              <w:rPr>
                <w:rFonts w:hint="eastAsia" w:ascii="楷体" w:hAnsi="楷体" w:eastAsia="楷体" w:cs="楷体"/>
                <w:color w:val="000000"/>
                <w:sz w:val="20"/>
                <w:szCs w:val="20"/>
                <w:highlight w:val="none"/>
                <w:lang w:val="en-US" w:eastAsia="zh-CN"/>
              </w:rPr>
              <w:t>（102）浙江文成农村商业银行股份有限公司：J份额</w:t>
            </w:r>
          </w:p>
          <w:p>
            <w:pPr>
              <w:keepNext w:val="0"/>
              <w:keepLines w:val="0"/>
              <w:pageBreakBefore w:val="0"/>
              <w:widowControl/>
              <w:bidi w:val="0"/>
              <w:spacing w:line="240" w:lineRule="auto"/>
              <w:jc w:val="both"/>
              <w:rPr>
                <w:rFonts w:hint="eastAsia" w:ascii="楷体" w:hAnsi="楷体" w:eastAsia="楷体" w:cs="楷体"/>
                <w:sz w:val="20"/>
                <w:szCs w:val="20"/>
                <w:highlight w:val="none"/>
                <w:lang w:val="en-US" w:eastAsia="zh-CN"/>
              </w:rPr>
            </w:pPr>
            <w:r>
              <w:rPr>
                <w:rFonts w:hint="eastAsia" w:ascii="楷体" w:hAnsi="楷体" w:eastAsia="楷体" w:cs="楷体"/>
                <w:color w:val="000000"/>
                <w:sz w:val="20"/>
                <w:szCs w:val="20"/>
                <w:highlight w:val="none"/>
                <w:lang w:val="en-US" w:eastAsia="zh-CN"/>
              </w:rPr>
              <w:t>（103）浙江武义农村商业银行股份有限公司：K份额</w:t>
            </w:r>
          </w:p>
          <w:p>
            <w:pPr>
              <w:keepNext w:val="0"/>
              <w:keepLines w:val="0"/>
              <w:pageBreakBefore w:val="0"/>
              <w:widowControl/>
              <w:bidi w:val="0"/>
              <w:spacing w:line="240" w:lineRule="auto"/>
              <w:jc w:val="both"/>
              <w:rPr>
                <w:rFonts w:hint="eastAsia" w:ascii="楷体" w:hAnsi="楷体" w:eastAsia="楷体" w:cs="楷体"/>
                <w:sz w:val="20"/>
                <w:szCs w:val="20"/>
                <w:highlight w:val="none"/>
                <w:lang w:val="en-US" w:eastAsia="zh-CN"/>
              </w:rPr>
            </w:pPr>
            <w:r>
              <w:rPr>
                <w:rFonts w:hint="eastAsia" w:ascii="楷体" w:hAnsi="楷体" w:eastAsia="楷体" w:cs="楷体"/>
                <w:color w:val="000000"/>
                <w:sz w:val="20"/>
                <w:szCs w:val="20"/>
                <w:highlight w:val="none"/>
                <w:lang w:val="en-US" w:eastAsia="zh-CN"/>
              </w:rPr>
              <w:t>（104）浙江萧山农村商业银行股份有限公司：J份额</w:t>
            </w:r>
          </w:p>
          <w:p>
            <w:pPr>
              <w:keepNext w:val="0"/>
              <w:keepLines w:val="0"/>
              <w:pageBreakBefore w:val="0"/>
              <w:widowControl/>
              <w:bidi w:val="0"/>
              <w:spacing w:line="240" w:lineRule="auto"/>
              <w:jc w:val="both"/>
              <w:rPr>
                <w:rFonts w:hint="eastAsia" w:ascii="楷体" w:hAnsi="楷体" w:eastAsia="楷体" w:cs="楷体"/>
                <w:sz w:val="20"/>
                <w:szCs w:val="20"/>
                <w:highlight w:val="none"/>
                <w:lang w:val="en-US" w:eastAsia="zh-CN"/>
              </w:rPr>
            </w:pPr>
            <w:r>
              <w:rPr>
                <w:rFonts w:hint="eastAsia" w:ascii="楷体" w:hAnsi="楷体" w:eastAsia="楷体" w:cs="楷体"/>
                <w:color w:val="000000"/>
                <w:sz w:val="20"/>
                <w:szCs w:val="20"/>
                <w:highlight w:val="none"/>
                <w:lang w:val="en-US" w:eastAsia="zh-CN"/>
              </w:rPr>
              <w:t>（105）浙江新昌农村商业银行股份有限公司：K份额</w:t>
            </w:r>
          </w:p>
          <w:p>
            <w:pPr>
              <w:keepNext w:val="0"/>
              <w:keepLines w:val="0"/>
              <w:pageBreakBefore w:val="0"/>
              <w:widowControl/>
              <w:bidi w:val="0"/>
              <w:spacing w:line="240" w:lineRule="auto"/>
              <w:jc w:val="both"/>
              <w:rPr>
                <w:rFonts w:hint="eastAsia" w:ascii="楷体" w:hAnsi="楷体" w:eastAsia="楷体" w:cs="楷体"/>
                <w:sz w:val="20"/>
                <w:szCs w:val="20"/>
                <w:highlight w:val="none"/>
                <w:lang w:val="en-US" w:eastAsia="zh-CN"/>
              </w:rPr>
            </w:pPr>
            <w:r>
              <w:rPr>
                <w:rFonts w:hint="eastAsia" w:ascii="楷体" w:hAnsi="楷体" w:eastAsia="楷体" w:cs="楷体"/>
                <w:color w:val="000000"/>
                <w:sz w:val="20"/>
                <w:szCs w:val="20"/>
                <w:highlight w:val="none"/>
                <w:lang w:val="en-US" w:eastAsia="zh-CN"/>
              </w:rPr>
              <w:t>（106）浙江永嘉农村商业银行股份有限公司：J份额</w:t>
            </w:r>
          </w:p>
          <w:p>
            <w:pPr>
              <w:keepNext w:val="0"/>
              <w:keepLines w:val="0"/>
              <w:pageBreakBefore w:val="0"/>
              <w:widowControl/>
              <w:bidi w:val="0"/>
              <w:spacing w:line="240" w:lineRule="auto"/>
              <w:jc w:val="both"/>
              <w:rPr>
                <w:rFonts w:hint="eastAsia" w:ascii="楷体" w:hAnsi="楷体" w:eastAsia="楷体" w:cs="楷体"/>
                <w:sz w:val="20"/>
                <w:szCs w:val="20"/>
                <w:highlight w:val="none"/>
                <w:lang w:val="en-US" w:eastAsia="zh-CN"/>
              </w:rPr>
            </w:pPr>
            <w:r>
              <w:rPr>
                <w:rFonts w:hint="eastAsia" w:ascii="楷体" w:hAnsi="楷体" w:eastAsia="楷体" w:cs="楷体"/>
                <w:color w:val="000000"/>
                <w:sz w:val="20"/>
                <w:szCs w:val="20"/>
                <w:highlight w:val="none"/>
                <w:lang w:val="en-US" w:eastAsia="zh-CN"/>
              </w:rPr>
              <w:t>（107）浙江永康农村商业银行股份有限公司：J份额、K份额、N份额</w:t>
            </w:r>
          </w:p>
          <w:p>
            <w:pPr>
              <w:keepNext w:val="0"/>
              <w:keepLines w:val="0"/>
              <w:pageBreakBefore w:val="0"/>
              <w:widowControl/>
              <w:bidi w:val="0"/>
              <w:spacing w:line="240" w:lineRule="auto"/>
              <w:jc w:val="both"/>
              <w:rPr>
                <w:rFonts w:hint="eastAsia" w:ascii="楷体" w:hAnsi="楷体" w:eastAsia="楷体" w:cs="楷体"/>
                <w:sz w:val="20"/>
                <w:szCs w:val="20"/>
                <w:highlight w:val="none"/>
                <w:lang w:val="en-US" w:eastAsia="zh-CN"/>
              </w:rPr>
            </w:pPr>
            <w:r>
              <w:rPr>
                <w:rFonts w:hint="eastAsia" w:ascii="楷体" w:hAnsi="楷体" w:eastAsia="楷体" w:cs="楷体"/>
                <w:color w:val="000000"/>
                <w:sz w:val="20"/>
                <w:szCs w:val="20"/>
                <w:highlight w:val="none"/>
                <w:lang w:val="en-US" w:eastAsia="zh-CN"/>
              </w:rPr>
              <w:t>（108）浙江舟山定海海洋农村商业银行股份有限公司：J份额、K份额、N份额</w:t>
            </w:r>
          </w:p>
          <w:p>
            <w:pPr>
              <w:keepNext w:val="0"/>
              <w:keepLines w:val="0"/>
              <w:pageBreakBefore w:val="0"/>
              <w:widowControl/>
              <w:bidi w:val="0"/>
              <w:spacing w:line="240" w:lineRule="auto"/>
              <w:jc w:val="both"/>
              <w:rPr>
                <w:rFonts w:hint="eastAsia" w:ascii="楷体" w:hAnsi="楷体" w:eastAsia="楷体" w:cs="楷体"/>
                <w:sz w:val="20"/>
                <w:szCs w:val="20"/>
                <w:highlight w:val="none"/>
                <w:lang w:val="en-US" w:eastAsia="zh-CN"/>
              </w:rPr>
            </w:pPr>
            <w:r>
              <w:rPr>
                <w:rFonts w:hint="eastAsia" w:ascii="楷体" w:hAnsi="楷体" w:eastAsia="楷体" w:cs="楷体"/>
                <w:color w:val="000000"/>
                <w:sz w:val="20"/>
                <w:szCs w:val="20"/>
                <w:highlight w:val="none"/>
                <w:lang w:val="en-US" w:eastAsia="zh-CN"/>
              </w:rPr>
              <w:t>（109）浙江舟山普陀农村商业银行股份有限公司：J份额</w:t>
            </w:r>
          </w:p>
          <w:p>
            <w:pPr>
              <w:keepNext w:val="0"/>
              <w:keepLines w:val="0"/>
              <w:pageBreakBefore w:val="0"/>
              <w:widowControl/>
              <w:bidi w:val="0"/>
              <w:spacing w:line="240" w:lineRule="auto"/>
              <w:jc w:val="both"/>
              <w:rPr>
                <w:rFonts w:hint="eastAsia" w:ascii="楷体" w:hAnsi="楷体" w:eastAsia="楷体" w:cs="楷体"/>
                <w:sz w:val="20"/>
                <w:szCs w:val="20"/>
                <w:highlight w:val="none"/>
                <w:lang w:val="en-US" w:eastAsia="zh-CN"/>
              </w:rPr>
            </w:pPr>
            <w:r>
              <w:rPr>
                <w:rFonts w:hint="eastAsia" w:ascii="楷体" w:hAnsi="楷体" w:eastAsia="楷体" w:cs="楷体"/>
                <w:color w:val="000000"/>
                <w:sz w:val="20"/>
                <w:szCs w:val="20"/>
                <w:highlight w:val="none"/>
                <w:lang w:val="en-US" w:eastAsia="zh-CN"/>
              </w:rPr>
              <w:t>（110）浙江岱山农村商业银行股份有限公司：J份额</w:t>
            </w:r>
          </w:p>
          <w:p>
            <w:pPr>
              <w:keepNext w:val="0"/>
              <w:keepLines w:val="0"/>
              <w:pageBreakBefore w:val="0"/>
              <w:widowControl/>
              <w:bidi w:val="0"/>
              <w:spacing w:line="240" w:lineRule="auto"/>
              <w:jc w:val="both"/>
              <w:rPr>
                <w:rFonts w:hint="eastAsia" w:ascii="楷体" w:hAnsi="楷体" w:eastAsia="楷体" w:cs="楷体"/>
                <w:sz w:val="20"/>
                <w:szCs w:val="20"/>
                <w:highlight w:val="none"/>
                <w:lang w:val="en-US" w:eastAsia="zh-CN"/>
              </w:rPr>
            </w:pPr>
            <w:r>
              <w:rPr>
                <w:rFonts w:hint="eastAsia" w:ascii="楷体" w:hAnsi="楷体" w:eastAsia="楷体" w:cs="楷体"/>
                <w:color w:val="000000"/>
                <w:sz w:val="20"/>
                <w:szCs w:val="20"/>
                <w:highlight w:val="none"/>
                <w:lang w:val="en-US" w:eastAsia="zh-CN"/>
              </w:rPr>
              <w:t>（111）浙江衢州柯城农村商业银行股份有限公司：K份额</w:t>
            </w:r>
          </w:p>
          <w:p>
            <w:pPr>
              <w:keepNext w:val="0"/>
              <w:keepLines w:val="0"/>
              <w:pageBreakBefore w:val="0"/>
              <w:widowControl/>
              <w:bidi w:val="0"/>
              <w:spacing w:line="240" w:lineRule="auto"/>
              <w:jc w:val="both"/>
              <w:rPr>
                <w:rFonts w:hint="eastAsia" w:ascii="楷体" w:hAnsi="楷体" w:eastAsia="楷体" w:cs="楷体"/>
                <w:sz w:val="20"/>
                <w:szCs w:val="20"/>
                <w:highlight w:val="none"/>
                <w:lang w:val="en-US" w:eastAsia="zh-CN"/>
              </w:rPr>
            </w:pPr>
            <w:r>
              <w:rPr>
                <w:rFonts w:hint="eastAsia" w:ascii="楷体" w:hAnsi="楷体" w:eastAsia="楷体" w:cs="楷体"/>
                <w:color w:val="000000"/>
                <w:sz w:val="20"/>
                <w:szCs w:val="20"/>
                <w:highlight w:val="none"/>
                <w:lang w:val="en-US" w:eastAsia="zh-CN"/>
              </w:rPr>
              <w:t>（112）郑州银行股份有限公司：I份额</w:t>
            </w:r>
          </w:p>
          <w:p>
            <w:pPr>
              <w:keepNext w:val="0"/>
              <w:keepLines w:val="0"/>
              <w:pageBreakBefore w:val="0"/>
              <w:widowControl/>
              <w:bidi w:val="0"/>
              <w:spacing w:line="240" w:lineRule="auto"/>
              <w:jc w:val="both"/>
              <w:rPr>
                <w:rFonts w:hint="default" w:ascii="楷体" w:hAnsi="楷体" w:eastAsia="楷体" w:cs="楷体"/>
                <w:sz w:val="20"/>
                <w:szCs w:val="20"/>
                <w:highlight w:val="none"/>
                <w:lang w:val="en-US" w:eastAsia="zh-CN"/>
              </w:rPr>
            </w:pPr>
            <w:r>
              <w:rPr>
                <w:rFonts w:hint="eastAsia" w:ascii="楷体" w:hAnsi="楷体" w:eastAsia="楷体" w:cs="楷体"/>
                <w:color w:val="000000"/>
                <w:sz w:val="20"/>
                <w:szCs w:val="20"/>
                <w:highlight w:val="none"/>
                <w:lang w:val="en-US" w:eastAsia="zh-CN"/>
              </w:rPr>
              <w:t>（113）重庆农村商业银行股份有限公司：H份额</w:t>
            </w:r>
            <w:r>
              <w:rPr>
                <w:rFonts w:hint="eastAsia" w:ascii="楷体" w:hAnsi="楷体" w:eastAsia="楷体" w:cs="楷体"/>
                <w:color w:val="000000"/>
                <w:sz w:val="20"/>
                <w:szCs w:val="20"/>
                <w:highlight w:val="none"/>
                <w:lang w:val="en-US" w:eastAsia="zh-CN"/>
              </w:rPr>
              <w:br w:type="textWrapping"/>
            </w:r>
            <w:r>
              <w:rPr>
                <w:rFonts w:hint="eastAsia" w:ascii="楷体" w:hAnsi="楷体" w:eastAsia="楷体" w:cs="楷体"/>
                <w:color w:val="000000"/>
                <w:sz w:val="20"/>
                <w:szCs w:val="20"/>
                <w:highlight w:val="none"/>
                <w:lang w:val="en-US" w:eastAsia="zh-CN"/>
              </w:rPr>
              <w:t>（114）广东华润银行股份有限公司：Z份额</w:t>
            </w:r>
            <w:r>
              <w:rPr>
                <w:rFonts w:hint="eastAsia" w:ascii="楷体" w:hAnsi="楷体" w:eastAsia="楷体" w:cs="楷体"/>
                <w:color w:val="000000"/>
                <w:sz w:val="20"/>
                <w:szCs w:val="20"/>
                <w:highlight w:val="none"/>
                <w:lang w:val="en-US" w:eastAsia="zh-CN"/>
              </w:rPr>
              <w:br w:type="textWrapping"/>
            </w:r>
            <w:r>
              <w:rPr>
                <w:rFonts w:hint="eastAsia" w:ascii="楷体" w:hAnsi="楷体" w:eastAsia="楷体" w:cs="楷体"/>
                <w:color w:val="000000"/>
                <w:sz w:val="20"/>
                <w:szCs w:val="20"/>
                <w:highlight w:val="none"/>
                <w:lang w:val="en-US" w:eastAsia="zh-CN"/>
              </w:rPr>
              <w:t>（115）上海农村商业银行股份有限公司：L份额</w:t>
            </w:r>
            <w:r>
              <w:rPr>
                <w:rFonts w:hint="eastAsia" w:ascii="楷体" w:hAnsi="楷体" w:eastAsia="楷体" w:cs="楷体"/>
                <w:color w:val="000000"/>
                <w:sz w:val="20"/>
                <w:szCs w:val="20"/>
                <w:highlight w:val="none"/>
                <w:lang w:val="en-US" w:eastAsia="zh-CN"/>
              </w:rPr>
              <w:br w:type="textWrapping"/>
            </w:r>
            <w:r>
              <w:rPr>
                <w:rFonts w:hint="eastAsia" w:ascii="楷体" w:hAnsi="楷体" w:eastAsia="楷体" w:cs="楷体"/>
                <w:color w:val="000000"/>
                <w:sz w:val="20"/>
                <w:szCs w:val="20"/>
                <w:highlight w:val="none"/>
                <w:lang w:val="en-US" w:eastAsia="zh-CN"/>
              </w:rPr>
              <w:t>（116）徽商银行股份有限公司：B份额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178" w:type="dxa"/>
            <w:noWrap w:val="0"/>
            <w:vAlign w:val="center"/>
          </w:tcPr>
          <w:p>
            <w:pPr>
              <w:keepNext w:val="0"/>
              <w:keepLines w:val="0"/>
              <w:pageBreakBefore w:val="0"/>
              <w:widowControl/>
              <w:bidi w:val="0"/>
              <w:spacing w:line="240" w:lineRule="auto"/>
              <w:jc w:val="center"/>
              <w:rPr>
                <w:rFonts w:hint="eastAsia" w:ascii="楷体" w:hAnsi="楷体" w:eastAsia="楷体" w:cs="楷体"/>
                <w:b/>
                <w:bCs/>
                <w:color w:val="000000" w:themeColor="text1"/>
                <w:sz w:val="20"/>
                <w:szCs w:val="20"/>
                <w:highlight w:val="none"/>
                <w14:textFill>
                  <w14:solidFill>
                    <w14:schemeClr w14:val="tx1"/>
                  </w14:solidFill>
                </w14:textFill>
              </w:rPr>
            </w:pPr>
            <w:r>
              <w:rPr>
                <w:rFonts w:hint="eastAsia" w:ascii="楷体" w:hAnsi="楷体" w:eastAsia="楷体" w:cs="楷体"/>
                <w:b/>
                <w:bCs/>
                <w:color w:val="000000" w:themeColor="text1"/>
                <w:sz w:val="20"/>
                <w:szCs w:val="20"/>
                <w:highlight w:val="none"/>
                <w14:textFill>
                  <w14:solidFill>
                    <w14:schemeClr w14:val="tx1"/>
                  </w14:solidFill>
                </w14:textFill>
              </w:rPr>
              <w:t>境内托管机构名称</w:t>
            </w:r>
          </w:p>
        </w:tc>
        <w:tc>
          <w:tcPr>
            <w:tcW w:w="7478" w:type="dxa"/>
            <w:noWrap w:val="0"/>
            <w:vAlign w:val="center"/>
          </w:tcPr>
          <w:p>
            <w:pPr>
              <w:keepNext w:val="0"/>
              <w:keepLines w:val="0"/>
              <w:pageBreakBefore w:val="0"/>
              <w:widowControl/>
              <w:bidi w:val="0"/>
              <w:spacing w:line="240" w:lineRule="auto"/>
              <w:jc w:val="both"/>
              <w:rPr>
                <w:rFonts w:hint="eastAsia" w:ascii="楷体" w:hAnsi="楷体" w:eastAsia="楷体" w:cs="楷体"/>
                <w:bCs/>
                <w:color w:val="000000" w:themeColor="text1"/>
                <w:sz w:val="20"/>
                <w:szCs w:val="20"/>
                <w:highlight w:val="none"/>
                <w:lang w:val="en-US"/>
                <w14:textFill>
                  <w14:solidFill>
                    <w14:schemeClr w14:val="tx1"/>
                  </w14:solidFill>
                </w14:textFill>
              </w:rPr>
            </w:pPr>
            <w:r>
              <w:rPr>
                <w:rFonts w:hint="eastAsia" w:ascii="楷体" w:hAnsi="楷体" w:eastAsia="楷体" w:cs="楷体"/>
                <w:bCs/>
                <w:color w:val="000000" w:themeColor="text1"/>
                <w:sz w:val="20"/>
                <w:szCs w:val="20"/>
                <w:highlight w:val="none"/>
                <w:lang w:val="en-US" w:eastAsia="zh-CN"/>
                <w14:textFill>
                  <w14:solidFill>
                    <w14:schemeClr w14:val="tx1"/>
                  </w14:solidFill>
                </w14:textFill>
              </w:rPr>
              <w:t>中国工商银行股份有限公司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178" w:type="dxa"/>
            <w:noWrap w:val="0"/>
            <w:vAlign w:val="center"/>
          </w:tcPr>
          <w:p>
            <w:pPr>
              <w:keepNext w:val="0"/>
              <w:keepLines w:val="0"/>
              <w:pageBreakBefore w:val="0"/>
              <w:widowControl/>
              <w:bidi w:val="0"/>
              <w:spacing w:line="240" w:lineRule="auto"/>
              <w:jc w:val="center"/>
              <w:rPr>
                <w:rFonts w:hint="eastAsia" w:ascii="楷体" w:hAnsi="楷体" w:eastAsia="楷体" w:cs="楷体"/>
                <w:b/>
                <w:bCs/>
                <w:color w:val="000000" w:themeColor="text1"/>
                <w:sz w:val="20"/>
                <w:szCs w:val="20"/>
                <w:highlight w:val="none"/>
                <w14:textFill>
                  <w14:solidFill>
                    <w14:schemeClr w14:val="tx1"/>
                  </w14:solidFill>
                </w14:textFill>
              </w:rPr>
            </w:pPr>
            <w:r>
              <w:rPr>
                <w:rFonts w:hint="eastAsia" w:ascii="楷体" w:hAnsi="楷体" w:eastAsia="楷体" w:cs="楷体"/>
                <w:b/>
                <w:bCs/>
                <w:color w:val="000000" w:themeColor="text1"/>
                <w:sz w:val="20"/>
                <w:szCs w:val="20"/>
                <w:highlight w:val="none"/>
                <w14:textFill>
                  <w14:solidFill>
                    <w14:schemeClr w14:val="tx1"/>
                  </w14:solidFill>
                </w14:textFill>
              </w:rPr>
              <w:t>境外托管机构名称</w:t>
            </w:r>
          </w:p>
        </w:tc>
        <w:tc>
          <w:tcPr>
            <w:tcW w:w="7478" w:type="dxa"/>
            <w:noWrap w:val="0"/>
            <w:vAlign w:val="center"/>
          </w:tcPr>
          <w:p>
            <w:pPr>
              <w:keepNext w:val="0"/>
              <w:keepLines w:val="0"/>
              <w:pageBreakBefore w:val="0"/>
              <w:widowControl/>
              <w:bidi w:val="0"/>
              <w:spacing w:line="240" w:lineRule="auto"/>
              <w:jc w:val="both"/>
              <w:rPr>
                <w:rFonts w:hint="eastAsia" w:ascii="楷体" w:hAnsi="楷体" w:eastAsia="楷体" w:cs="楷体"/>
                <w:bCs/>
                <w:color w:val="000000" w:themeColor="text1"/>
                <w:sz w:val="20"/>
                <w:szCs w:val="20"/>
                <w:highlight w:val="none"/>
                <w14:textFill>
                  <w14:solidFill>
                    <w14:schemeClr w14:val="tx1"/>
                  </w14:solidFill>
                </w14:textFill>
              </w:rPr>
            </w:pPr>
            <w:r>
              <w:rPr>
                <w:rFonts w:hint="eastAsia" w:ascii="楷体" w:hAnsi="楷体" w:eastAsia="楷体" w:cs="楷体"/>
                <w:bCs/>
                <w:color w:val="000000" w:themeColor="text1"/>
                <w:sz w:val="20"/>
                <w:szCs w:val="20"/>
                <w:highlight w:val="none"/>
                <w:lang w:val="en-US" w:eastAsia="zh-CN"/>
                <w14:textFill>
                  <w14:solidFill>
                    <w14:schemeClr w14:val="tx1"/>
                  </w14:solidFill>
                </w14:textFill>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178" w:type="dxa"/>
            <w:noWrap w:val="0"/>
            <w:vAlign w:val="center"/>
          </w:tcPr>
          <w:p>
            <w:pPr>
              <w:keepNext w:val="0"/>
              <w:keepLines w:val="0"/>
              <w:pageBreakBefore w:val="0"/>
              <w:widowControl/>
              <w:bidi w:val="0"/>
              <w:spacing w:line="240" w:lineRule="auto"/>
              <w:jc w:val="center"/>
              <w:rPr>
                <w:rFonts w:hint="eastAsia" w:ascii="楷体" w:hAnsi="楷体" w:eastAsia="楷体" w:cs="楷体"/>
                <w:b/>
                <w:bCs/>
                <w:color w:val="000000" w:themeColor="text1"/>
                <w:sz w:val="20"/>
                <w:szCs w:val="20"/>
                <w:highlight w:val="none"/>
                <w14:textFill>
                  <w14:solidFill>
                    <w14:schemeClr w14:val="tx1"/>
                  </w14:solidFill>
                </w14:textFill>
              </w:rPr>
            </w:pPr>
            <w:r>
              <w:rPr>
                <w:rFonts w:hint="eastAsia" w:ascii="楷体" w:hAnsi="楷体" w:eastAsia="楷体" w:cs="楷体"/>
                <w:b/>
                <w:bCs/>
                <w:color w:val="000000" w:themeColor="text1"/>
                <w:sz w:val="20"/>
                <w:szCs w:val="20"/>
                <w:highlight w:val="none"/>
                <w14:textFill>
                  <w14:solidFill>
                    <w14:schemeClr w14:val="tx1"/>
                  </w14:solidFill>
                </w14:textFill>
              </w:rPr>
              <w:t>销售对象</w:t>
            </w:r>
          </w:p>
        </w:tc>
        <w:tc>
          <w:tcPr>
            <w:tcW w:w="7478" w:type="dxa"/>
            <w:noWrap w:val="0"/>
            <w:vAlign w:val="center"/>
          </w:tcPr>
          <w:p>
            <w:pPr>
              <w:keepNext w:val="0"/>
              <w:keepLines w:val="0"/>
              <w:pageBreakBefore w:val="0"/>
              <w:widowControl/>
              <w:bidi w:val="0"/>
              <w:spacing w:line="240" w:lineRule="auto"/>
              <w:jc w:val="both"/>
              <w:rPr>
                <w:rFonts w:hint="default" w:ascii="楷体" w:hAnsi="楷体" w:eastAsia="楷体" w:cs="楷体"/>
                <w:bCs/>
                <w:color w:val="000000" w:themeColor="text1"/>
                <w:sz w:val="20"/>
                <w:szCs w:val="20"/>
                <w:highlight w:val="none"/>
                <w:lang w:val="en-US"/>
                <w14:textFill>
                  <w14:solidFill>
                    <w14:schemeClr w14:val="tx1"/>
                  </w14:solidFill>
                </w14:textFill>
              </w:rPr>
            </w:pPr>
            <w:r>
              <w:rPr>
                <w:rFonts w:hint="eastAsia" w:ascii="楷体" w:hAnsi="楷体" w:eastAsia="楷体" w:cs="楷体"/>
                <w:bCs/>
                <w:color w:val="000000" w:themeColor="text1"/>
                <w:sz w:val="20"/>
                <w:szCs w:val="20"/>
                <w:highlight w:val="none"/>
                <w:lang w:val="en-US" w:eastAsia="zh-CN"/>
                <w14:textFill>
                  <w14:solidFill>
                    <w14:schemeClr w14:val="tx1"/>
                  </w14:solidFill>
                </w14:textFill>
              </w:rPr>
              <w:t>A份额：面向个人和机构投资者销售；</w:t>
            </w:r>
          </w:p>
          <w:p>
            <w:pPr>
              <w:keepNext w:val="0"/>
              <w:keepLines w:val="0"/>
              <w:pageBreakBefore w:val="0"/>
              <w:widowControl/>
              <w:bidi w:val="0"/>
              <w:spacing w:line="240" w:lineRule="auto"/>
              <w:jc w:val="both"/>
              <w:rPr>
                <w:rFonts w:hint="default" w:ascii="楷体" w:hAnsi="楷体" w:eastAsia="楷体" w:cs="楷体"/>
                <w:bCs/>
                <w:color w:val="000000"/>
                <w:sz w:val="20"/>
                <w:szCs w:val="20"/>
                <w:highlight w:val="none"/>
                <w:lang w:val="en-US"/>
              </w:rPr>
            </w:pPr>
            <w:r>
              <w:rPr>
                <w:rFonts w:hint="eastAsia" w:ascii="楷体" w:hAnsi="楷体" w:eastAsia="楷体" w:cs="楷体"/>
                <w:bCs/>
                <w:color w:val="000000"/>
                <w:sz w:val="20"/>
                <w:szCs w:val="20"/>
                <w:highlight w:val="none"/>
                <w:lang w:val="en-US" w:eastAsia="zh-CN"/>
              </w:rPr>
              <w:t>B份额：面向个人和机构投资者销售；</w:t>
            </w:r>
          </w:p>
          <w:p>
            <w:pPr>
              <w:keepNext w:val="0"/>
              <w:keepLines w:val="0"/>
              <w:pageBreakBefore w:val="0"/>
              <w:widowControl/>
              <w:bidi w:val="0"/>
              <w:spacing w:line="240" w:lineRule="auto"/>
              <w:jc w:val="both"/>
              <w:rPr>
                <w:rFonts w:hint="default" w:ascii="楷体" w:hAnsi="楷体" w:eastAsia="楷体" w:cs="楷体"/>
                <w:bCs/>
                <w:color w:val="000000"/>
                <w:sz w:val="20"/>
                <w:szCs w:val="20"/>
                <w:highlight w:val="none"/>
                <w:lang w:val="en-US"/>
              </w:rPr>
            </w:pPr>
            <w:r>
              <w:rPr>
                <w:rFonts w:hint="eastAsia" w:ascii="楷体" w:hAnsi="楷体" w:eastAsia="楷体" w:cs="楷体"/>
                <w:bCs/>
                <w:color w:val="000000"/>
                <w:sz w:val="20"/>
                <w:szCs w:val="20"/>
                <w:highlight w:val="none"/>
                <w:lang w:val="en-US" w:eastAsia="zh-CN"/>
              </w:rPr>
              <w:t>C份额：面向个人和机构投资者销售，份额销售机构江苏银行仅限代发工资客户、新资金客户、新客户，具体以销售机构系统设置为准。新客户是指首次购买理财产品的客户；新资金的达标条件为“客户前一日资产时点余额”较“前一月末资产月日均余额”的新增额大于5万元；</w:t>
            </w:r>
          </w:p>
          <w:p>
            <w:pPr>
              <w:keepNext w:val="0"/>
              <w:keepLines w:val="0"/>
              <w:pageBreakBefore w:val="0"/>
              <w:widowControl/>
              <w:bidi w:val="0"/>
              <w:spacing w:line="240" w:lineRule="auto"/>
              <w:jc w:val="both"/>
              <w:rPr>
                <w:rFonts w:hint="default" w:ascii="楷体" w:hAnsi="楷体" w:eastAsia="楷体" w:cs="楷体"/>
                <w:bCs/>
                <w:color w:val="000000"/>
                <w:sz w:val="20"/>
                <w:szCs w:val="20"/>
                <w:highlight w:val="none"/>
                <w:lang w:val="en-US"/>
              </w:rPr>
            </w:pPr>
            <w:r>
              <w:rPr>
                <w:rFonts w:hint="eastAsia" w:ascii="楷体" w:hAnsi="楷体" w:eastAsia="楷体" w:cs="楷体"/>
                <w:bCs/>
                <w:color w:val="000000"/>
                <w:sz w:val="20"/>
                <w:szCs w:val="20"/>
                <w:highlight w:val="none"/>
                <w:lang w:val="en-US" w:eastAsia="zh-CN"/>
              </w:rPr>
              <w:t>D份额：面向个人和机构投资者销售；</w:t>
            </w:r>
          </w:p>
          <w:p>
            <w:pPr>
              <w:keepNext w:val="0"/>
              <w:keepLines w:val="0"/>
              <w:pageBreakBefore w:val="0"/>
              <w:widowControl/>
              <w:bidi w:val="0"/>
              <w:spacing w:line="240" w:lineRule="auto"/>
              <w:jc w:val="both"/>
              <w:rPr>
                <w:rFonts w:hint="default" w:ascii="楷体" w:hAnsi="楷体" w:eastAsia="楷体" w:cs="楷体"/>
                <w:bCs/>
                <w:color w:val="000000"/>
                <w:sz w:val="20"/>
                <w:szCs w:val="20"/>
                <w:highlight w:val="none"/>
                <w:lang w:val="en-US"/>
              </w:rPr>
            </w:pPr>
            <w:r>
              <w:rPr>
                <w:rFonts w:hint="eastAsia" w:ascii="楷体" w:hAnsi="楷体" w:eastAsia="楷体" w:cs="楷体"/>
                <w:bCs/>
                <w:color w:val="000000"/>
                <w:sz w:val="20"/>
                <w:szCs w:val="20"/>
                <w:highlight w:val="none"/>
                <w:lang w:val="en-US" w:eastAsia="zh-CN"/>
              </w:rPr>
              <w:t>E份额：面向个人和机构投资者销售，份额销售机构江苏银行仅限财富客户、私行客户、企业高管客户，具体以销售机构系统设置为准。江苏银行财富客户指在江苏银行日均资产大于等于200万元的个人客户；江苏银行私行客户指在江苏银行日均资产大于等于600万元的个人客户；企业高管客户是指与江苏银行有业务来往的企业的高管客户；</w:t>
            </w:r>
          </w:p>
          <w:p>
            <w:pPr>
              <w:keepNext w:val="0"/>
              <w:keepLines w:val="0"/>
              <w:pageBreakBefore w:val="0"/>
              <w:widowControl/>
              <w:bidi w:val="0"/>
              <w:spacing w:line="240" w:lineRule="auto"/>
              <w:jc w:val="both"/>
              <w:rPr>
                <w:rFonts w:hint="default" w:ascii="楷体" w:hAnsi="楷体" w:eastAsia="楷体" w:cs="楷体"/>
                <w:bCs/>
                <w:color w:val="000000"/>
                <w:sz w:val="20"/>
                <w:szCs w:val="20"/>
                <w:highlight w:val="none"/>
                <w:lang w:val="en-US"/>
              </w:rPr>
            </w:pPr>
            <w:r>
              <w:rPr>
                <w:rFonts w:hint="eastAsia" w:ascii="楷体" w:hAnsi="楷体" w:eastAsia="楷体" w:cs="楷体"/>
                <w:bCs/>
                <w:color w:val="000000"/>
                <w:sz w:val="20"/>
                <w:szCs w:val="20"/>
                <w:highlight w:val="none"/>
                <w:lang w:val="en-US" w:eastAsia="zh-CN"/>
              </w:rPr>
              <w:t>F份额：面向个人和机构投资者销售；</w:t>
            </w:r>
          </w:p>
          <w:p>
            <w:pPr>
              <w:keepNext w:val="0"/>
              <w:keepLines w:val="0"/>
              <w:pageBreakBefore w:val="0"/>
              <w:widowControl/>
              <w:bidi w:val="0"/>
              <w:spacing w:line="240" w:lineRule="auto"/>
              <w:jc w:val="both"/>
              <w:rPr>
                <w:rFonts w:hint="default" w:ascii="楷体" w:hAnsi="楷体" w:eastAsia="楷体" w:cs="楷体"/>
                <w:bCs/>
                <w:color w:val="000000"/>
                <w:sz w:val="20"/>
                <w:szCs w:val="20"/>
                <w:highlight w:val="none"/>
                <w:lang w:val="en-US"/>
              </w:rPr>
            </w:pPr>
            <w:r>
              <w:rPr>
                <w:rFonts w:hint="eastAsia" w:ascii="楷体" w:hAnsi="楷体" w:eastAsia="楷体" w:cs="楷体"/>
                <w:bCs/>
                <w:color w:val="000000"/>
                <w:sz w:val="20"/>
                <w:szCs w:val="20"/>
                <w:highlight w:val="none"/>
                <w:lang w:val="en-US" w:eastAsia="zh-CN"/>
              </w:rPr>
              <w:t>H份额：面向个人销售；</w:t>
            </w:r>
          </w:p>
          <w:p>
            <w:pPr>
              <w:keepNext w:val="0"/>
              <w:keepLines w:val="0"/>
              <w:pageBreakBefore w:val="0"/>
              <w:widowControl/>
              <w:bidi w:val="0"/>
              <w:spacing w:line="240" w:lineRule="auto"/>
              <w:jc w:val="both"/>
              <w:rPr>
                <w:rFonts w:hint="default" w:ascii="楷体" w:hAnsi="楷体" w:eastAsia="楷体" w:cs="楷体"/>
                <w:bCs/>
                <w:color w:val="000000"/>
                <w:sz w:val="20"/>
                <w:szCs w:val="20"/>
                <w:highlight w:val="none"/>
                <w:lang w:val="en-US"/>
              </w:rPr>
            </w:pPr>
            <w:r>
              <w:rPr>
                <w:rFonts w:hint="eastAsia" w:ascii="楷体" w:hAnsi="楷体" w:eastAsia="楷体" w:cs="楷体"/>
                <w:bCs/>
                <w:color w:val="000000"/>
                <w:sz w:val="20"/>
                <w:szCs w:val="20"/>
                <w:highlight w:val="none"/>
                <w:lang w:val="en-US" w:eastAsia="zh-CN"/>
              </w:rPr>
              <w:t>J份额：面向个人和机构投资者销售；</w:t>
            </w:r>
          </w:p>
          <w:p>
            <w:pPr>
              <w:keepNext w:val="0"/>
              <w:keepLines w:val="0"/>
              <w:pageBreakBefore w:val="0"/>
              <w:widowControl/>
              <w:bidi w:val="0"/>
              <w:spacing w:line="240" w:lineRule="auto"/>
              <w:jc w:val="both"/>
              <w:rPr>
                <w:rFonts w:hint="default" w:ascii="楷体" w:hAnsi="楷体" w:eastAsia="楷体" w:cs="楷体"/>
                <w:bCs/>
                <w:color w:val="000000"/>
                <w:sz w:val="20"/>
                <w:szCs w:val="20"/>
                <w:highlight w:val="none"/>
                <w:lang w:val="en-US"/>
              </w:rPr>
            </w:pPr>
            <w:r>
              <w:rPr>
                <w:rFonts w:hint="eastAsia" w:ascii="楷体" w:hAnsi="楷体" w:eastAsia="楷体" w:cs="楷体"/>
                <w:bCs/>
                <w:color w:val="000000"/>
                <w:sz w:val="20"/>
                <w:szCs w:val="20"/>
                <w:highlight w:val="none"/>
                <w:lang w:val="en-US" w:eastAsia="zh-CN"/>
              </w:rPr>
              <w:t>K份额：面向个人和机构投资者销售；</w:t>
            </w:r>
          </w:p>
          <w:p>
            <w:pPr>
              <w:keepNext w:val="0"/>
              <w:keepLines w:val="0"/>
              <w:pageBreakBefore w:val="0"/>
              <w:widowControl/>
              <w:bidi w:val="0"/>
              <w:spacing w:line="240" w:lineRule="auto"/>
              <w:jc w:val="both"/>
              <w:rPr>
                <w:rFonts w:hint="default" w:ascii="楷体" w:hAnsi="楷体" w:eastAsia="楷体" w:cs="楷体"/>
                <w:bCs/>
                <w:color w:val="000000"/>
                <w:sz w:val="20"/>
                <w:szCs w:val="20"/>
                <w:highlight w:val="none"/>
                <w:lang w:val="en-US"/>
              </w:rPr>
            </w:pPr>
            <w:r>
              <w:rPr>
                <w:rFonts w:hint="eastAsia" w:ascii="楷体" w:hAnsi="楷体" w:eastAsia="楷体" w:cs="楷体"/>
                <w:bCs/>
                <w:color w:val="000000"/>
                <w:sz w:val="20"/>
                <w:szCs w:val="20"/>
                <w:highlight w:val="none"/>
                <w:lang w:val="en-US" w:eastAsia="zh-CN"/>
              </w:rPr>
              <w:t>L份额：面向个人和机构投资者销售；</w:t>
            </w:r>
          </w:p>
          <w:p>
            <w:pPr>
              <w:keepNext w:val="0"/>
              <w:keepLines w:val="0"/>
              <w:pageBreakBefore w:val="0"/>
              <w:widowControl/>
              <w:bidi w:val="0"/>
              <w:spacing w:line="240" w:lineRule="auto"/>
              <w:jc w:val="both"/>
              <w:rPr>
                <w:rFonts w:hint="default" w:ascii="楷体" w:hAnsi="楷体" w:eastAsia="楷体" w:cs="楷体"/>
                <w:bCs/>
                <w:color w:val="000000"/>
                <w:sz w:val="20"/>
                <w:szCs w:val="20"/>
                <w:highlight w:val="none"/>
                <w:lang w:val="en-US"/>
              </w:rPr>
            </w:pPr>
            <w:r>
              <w:rPr>
                <w:rFonts w:hint="eastAsia" w:ascii="楷体" w:hAnsi="楷体" w:eastAsia="楷体" w:cs="楷体"/>
                <w:bCs/>
                <w:color w:val="000000"/>
                <w:sz w:val="20"/>
                <w:szCs w:val="20"/>
                <w:highlight w:val="none"/>
                <w:lang w:val="en-US" w:eastAsia="zh-CN"/>
              </w:rPr>
              <w:t>N份额：面向个人和机构投资者销售；</w:t>
            </w:r>
          </w:p>
          <w:p>
            <w:pPr>
              <w:keepNext w:val="0"/>
              <w:keepLines w:val="0"/>
              <w:pageBreakBefore w:val="0"/>
              <w:widowControl/>
              <w:bidi w:val="0"/>
              <w:spacing w:line="240" w:lineRule="auto"/>
              <w:jc w:val="both"/>
              <w:rPr>
                <w:rFonts w:hint="default" w:ascii="楷体" w:hAnsi="楷体" w:eastAsia="楷体" w:cs="楷体"/>
                <w:bCs/>
                <w:color w:val="000000"/>
                <w:sz w:val="20"/>
                <w:szCs w:val="20"/>
                <w:highlight w:val="none"/>
                <w:lang w:val="en-US"/>
              </w:rPr>
            </w:pPr>
            <w:r>
              <w:rPr>
                <w:rFonts w:hint="eastAsia" w:ascii="楷体" w:hAnsi="楷体" w:eastAsia="楷体" w:cs="楷体"/>
                <w:bCs/>
                <w:color w:val="000000"/>
                <w:sz w:val="20"/>
                <w:szCs w:val="20"/>
                <w:highlight w:val="none"/>
                <w:lang w:val="en-US" w:eastAsia="zh-CN"/>
              </w:rPr>
              <w:t>P份额：面向个人和机构投资者销售；</w:t>
            </w:r>
          </w:p>
          <w:p>
            <w:pPr>
              <w:keepNext w:val="0"/>
              <w:keepLines w:val="0"/>
              <w:pageBreakBefore w:val="0"/>
              <w:widowControl/>
              <w:bidi w:val="0"/>
              <w:spacing w:line="240" w:lineRule="auto"/>
              <w:jc w:val="both"/>
              <w:rPr>
                <w:rFonts w:hint="default" w:ascii="楷体" w:hAnsi="楷体" w:eastAsia="楷体" w:cs="楷体"/>
                <w:bCs/>
                <w:color w:val="000000"/>
                <w:sz w:val="20"/>
                <w:szCs w:val="20"/>
                <w:highlight w:val="none"/>
                <w:lang w:val="en-US"/>
              </w:rPr>
            </w:pPr>
            <w:r>
              <w:rPr>
                <w:rFonts w:hint="eastAsia" w:ascii="楷体" w:hAnsi="楷体" w:eastAsia="楷体" w:cs="楷体"/>
                <w:bCs/>
                <w:color w:val="000000"/>
                <w:sz w:val="20"/>
                <w:szCs w:val="20"/>
                <w:highlight w:val="none"/>
                <w:lang w:val="en-US" w:eastAsia="zh-CN"/>
              </w:rPr>
              <w:t>JS份额：面向个人和机构投资者销售；</w:t>
            </w:r>
          </w:p>
          <w:p>
            <w:pPr>
              <w:keepNext w:val="0"/>
              <w:keepLines w:val="0"/>
              <w:pageBreakBefore w:val="0"/>
              <w:widowControl/>
              <w:bidi w:val="0"/>
              <w:spacing w:line="240" w:lineRule="auto"/>
              <w:jc w:val="both"/>
              <w:rPr>
                <w:rFonts w:hint="default" w:ascii="楷体" w:hAnsi="楷体" w:eastAsia="楷体" w:cs="楷体"/>
                <w:bCs/>
                <w:color w:val="000000"/>
                <w:sz w:val="20"/>
                <w:szCs w:val="20"/>
                <w:highlight w:val="none"/>
                <w:lang w:val="en-US"/>
              </w:rPr>
            </w:pPr>
            <w:r>
              <w:rPr>
                <w:rFonts w:hint="eastAsia" w:ascii="楷体" w:hAnsi="楷体" w:eastAsia="楷体" w:cs="楷体"/>
                <w:bCs/>
                <w:color w:val="000000"/>
                <w:sz w:val="20"/>
                <w:szCs w:val="20"/>
                <w:highlight w:val="none"/>
                <w:lang w:val="en-US" w:eastAsia="zh-CN"/>
              </w:rPr>
              <w:t>G份额：面向个人和机构投资者销售；</w:t>
            </w:r>
          </w:p>
          <w:p>
            <w:pPr>
              <w:keepNext w:val="0"/>
              <w:keepLines w:val="0"/>
              <w:pageBreakBefore w:val="0"/>
              <w:widowControl/>
              <w:bidi w:val="0"/>
              <w:spacing w:line="240" w:lineRule="auto"/>
              <w:jc w:val="both"/>
              <w:rPr>
                <w:rFonts w:hint="default" w:ascii="楷体" w:hAnsi="楷体" w:eastAsia="楷体" w:cs="楷体"/>
                <w:bCs/>
                <w:color w:val="000000"/>
                <w:sz w:val="20"/>
                <w:szCs w:val="20"/>
                <w:highlight w:val="none"/>
                <w:lang w:val="en-US"/>
              </w:rPr>
            </w:pPr>
            <w:r>
              <w:rPr>
                <w:rFonts w:hint="eastAsia" w:ascii="楷体" w:hAnsi="楷体" w:eastAsia="楷体" w:cs="楷体"/>
                <w:bCs/>
                <w:color w:val="000000"/>
                <w:sz w:val="20"/>
                <w:szCs w:val="20"/>
                <w:highlight w:val="none"/>
                <w:lang w:val="en-US" w:eastAsia="zh-CN"/>
              </w:rPr>
              <w:t>I份额：面向个人和机构投资者销售；</w:t>
            </w:r>
          </w:p>
          <w:p>
            <w:pPr>
              <w:keepNext w:val="0"/>
              <w:keepLines w:val="0"/>
              <w:pageBreakBefore w:val="0"/>
              <w:widowControl/>
              <w:bidi w:val="0"/>
              <w:spacing w:line="240" w:lineRule="auto"/>
              <w:jc w:val="both"/>
              <w:rPr>
                <w:rFonts w:hint="default" w:ascii="楷体" w:hAnsi="楷体" w:eastAsia="楷体" w:cs="楷体"/>
                <w:bCs/>
                <w:color w:val="000000"/>
                <w:sz w:val="20"/>
                <w:szCs w:val="20"/>
                <w:highlight w:val="none"/>
                <w:lang w:val="en-US"/>
              </w:rPr>
            </w:pPr>
            <w:r>
              <w:rPr>
                <w:rFonts w:hint="eastAsia" w:ascii="楷体" w:hAnsi="楷体" w:eastAsia="楷体" w:cs="楷体"/>
                <w:bCs/>
                <w:color w:val="000000"/>
                <w:sz w:val="20"/>
                <w:szCs w:val="20"/>
                <w:highlight w:val="none"/>
                <w:lang w:val="en-US" w:eastAsia="zh-CN"/>
              </w:rPr>
              <w:t>M份额：面向个人和机构投资者销售；</w:t>
            </w:r>
          </w:p>
          <w:p>
            <w:pPr>
              <w:keepNext w:val="0"/>
              <w:keepLines w:val="0"/>
              <w:pageBreakBefore w:val="0"/>
              <w:widowControl/>
              <w:bidi w:val="0"/>
              <w:spacing w:line="240" w:lineRule="auto"/>
              <w:jc w:val="both"/>
              <w:rPr>
                <w:rFonts w:hint="default" w:ascii="楷体" w:hAnsi="楷体" w:eastAsia="楷体" w:cs="楷体"/>
                <w:bCs/>
                <w:color w:val="000000"/>
                <w:sz w:val="20"/>
                <w:szCs w:val="20"/>
                <w:highlight w:val="none"/>
                <w:lang w:val="en-US"/>
              </w:rPr>
            </w:pPr>
            <w:r>
              <w:rPr>
                <w:rFonts w:hint="eastAsia" w:ascii="楷体" w:hAnsi="楷体" w:eastAsia="楷体" w:cs="楷体"/>
                <w:bCs/>
                <w:color w:val="000000"/>
                <w:sz w:val="20"/>
                <w:szCs w:val="20"/>
                <w:highlight w:val="none"/>
                <w:lang w:val="en-US" w:eastAsia="zh-CN"/>
              </w:rPr>
              <w:t>O份额：面向个人和机构投资者销售；</w:t>
            </w:r>
          </w:p>
          <w:p>
            <w:pPr>
              <w:keepNext w:val="0"/>
              <w:keepLines w:val="0"/>
              <w:pageBreakBefore w:val="0"/>
              <w:widowControl/>
              <w:bidi w:val="0"/>
              <w:spacing w:line="240" w:lineRule="auto"/>
              <w:jc w:val="both"/>
              <w:rPr>
                <w:rFonts w:hint="default" w:ascii="楷体" w:hAnsi="楷体" w:eastAsia="楷体" w:cs="楷体"/>
                <w:bCs/>
                <w:color w:val="000000"/>
                <w:sz w:val="20"/>
                <w:szCs w:val="20"/>
                <w:highlight w:val="none"/>
                <w:lang w:val="en-US"/>
              </w:rPr>
            </w:pPr>
            <w:r>
              <w:rPr>
                <w:rFonts w:hint="eastAsia" w:ascii="楷体" w:hAnsi="楷体" w:eastAsia="楷体" w:cs="楷体"/>
                <w:bCs/>
                <w:color w:val="000000"/>
                <w:sz w:val="20"/>
                <w:szCs w:val="20"/>
                <w:highlight w:val="none"/>
                <w:lang w:val="en-US" w:eastAsia="zh-CN"/>
              </w:rPr>
              <w:t>Z份额：面向个人和机构投资者销售。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656" w:type="dxa"/>
            <w:gridSpan w:val="2"/>
            <w:noWrap w:val="0"/>
            <w:vAlign w:val="center"/>
          </w:tcPr>
          <w:p>
            <w:pPr>
              <w:keepNext w:val="0"/>
              <w:keepLines w:val="0"/>
              <w:pageBreakBefore w:val="0"/>
              <w:widowControl/>
              <w:bidi w:val="0"/>
              <w:spacing w:line="240" w:lineRule="auto"/>
              <w:jc w:val="center"/>
              <w:rPr>
                <w:rFonts w:hint="eastAsia" w:ascii="楷体" w:hAnsi="楷体" w:eastAsia="楷体" w:cs="楷体"/>
                <w:b/>
                <w:bCs/>
                <w:color w:val="000000" w:themeColor="text1"/>
                <w:sz w:val="20"/>
                <w:szCs w:val="20"/>
                <w:highlight w:val="none"/>
                <w14:textFill>
                  <w14:solidFill>
                    <w14:schemeClr w14:val="tx1"/>
                  </w14:solidFill>
                </w14:textFill>
              </w:rPr>
            </w:pPr>
            <w:r>
              <w:rPr>
                <w:rFonts w:hint="eastAsia" w:ascii="楷体" w:hAnsi="楷体" w:eastAsia="楷体" w:cs="楷体"/>
                <w:b/>
                <w:bCs/>
                <w:color w:val="000000" w:themeColor="text1"/>
                <w:sz w:val="20"/>
                <w:szCs w:val="20"/>
                <w:highlight w:val="none"/>
                <w14:textFill>
                  <w14:solidFill>
                    <w14:schemeClr w14:val="tx1"/>
                  </w14:solidFill>
                </w14:textFill>
              </w:rPr>
              <w:t>（二）交易规则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178" w:type="dxa"/>
            <w:noWrap w:val="0"/>
            <w:vAlign w:val="center"/>
          </w:tcPr>
          <w:p>
            <w:pPr>
              <w:keepNext w:val="0"/>
              <w:keepLines w:val="0"/>
              <w:pageBreakBefore w:val="0"/>
              <w:widowControl/>
              <w:bidi w:val="0"/>
              <w:spacing w:line="240" w:lineRule="auto"/>
              <w:jc w:val="center"/>
              <w:rPr>
                <w:rFonts w:hint="eastAsia" w:ascii="楷体" w:hAnsi="楷体" w:eastAsia="楷体" w:cs="楷体"/>
                <w:b/>
                <w:bCs/>
                <w:color w:val="000000" w:themeColor="text1"/>
                <w:sz w:val="20"/>
                <w:szCs w:val="20"/>
                <w:highlight w:val="none"/>
                <w14:textFill>
                  <w14:solidFill>
                    <w14:schemeClr w14:val="tx1"/>
                  </w14:solidFill>
                </w14:textFill>
              </w:rPr>
            </w:pPr>
            <w:r>
              <w:rPr>
                <w:rFonts w:hint="eastAsia" w:ascii="楷体" w:hAnsi="楷体" w:eastAsia="楷体" w:cs="楷体"/>
                <w:b/>
                <w:bCs/>
                <w:color w:val="000000" w:themeColor="text1"/>
                <w:sz w:val="20"/>
                <w:szCs w:val="20"/>
                <w:highlight w:val="none"/>
                <w14:textFill>
                  <w14:solidFill>
                    <w14:schemeClr w14:val="tx1"/>
                  </w14:solidFill>
                </w14:textFill>
              </w:rPr>
              <w:t>募集币种</w:t>
            </w:r>
          </w:p>
        </w:tc>
        <w:tc>
          <w:tcPr>
            <w:tcW w:w="7478" w:type="dxa"/>
            <w:noWrap w:val="0"/>
            <w:vAlign w:val="center"/>
          </w:tcPr>
          <w:p>
            <w:pPr>
              <w:keepNext w:val="0"/>
              <w:keepLines w:val="0"/>
              <w:pageBreakBefore w:val="0"/>
              <w:widowControl/>
              <w:bidi w:val="0"/>
              <w:spacing w:line="240" w:lineRule="auto"/>
              <w:jc w:val="both"/>
              <w:rPr>
                <w:rFonts w:hint="eastAsia" w:ascii="楷体" w:hAnsi="楷体" w:eastAsia="楷体" w:cs="楷体"/>
                <w:bCs/>
                <w:color w:val="000000" w:themeColor="text1"/>
                <w:sz w:val="20"/>
                <w:szCs w:val="20"/>
                <w:highlight w:val="none"/>
                <w:lang w:val="en-US" w:eastAsia="zh-CN"/>
                <w14:textFill>
                  <w14:solidFill>
                    <w14:schemeClr w14:val="tx1"/>
                  </w14:solidFill>
                </w14:textFill>
              </w:rPr>
            </w:pPr>
            <w:r>
              <w:rPr>
                <w:rFonts w:hint="eastAsia" w:ascii="楷体" w:hAnsi="楷体" w:eastAsia="楷体" w:cs="楷体"/>
                <w:bCs/>
                <w:color w:val="000000" w:themeColor="text1"/>
                <w:sz w:val="20"/>
                <w:szCs w:val="20"/>
                <w:highlight w:val="none"/>
                <w:lang w:val="en-US" w:eastAsia="zh-CN"/>
                <w14:textFill>
                  <w14:solidFill>
                    <w14:schemeClr w14:val="tx1"/>
                  </w14:solidFill>
                </w14:textFill>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178" w:type="dxa"/>
            <w:noWrap w:val="0"/>
            <w:vAlign w:val="center"/>
          </w:tcPr>
          <w:p>
            <w:pPr>
              <w:keepNext w:val="0"/>
              <w:keepLines w:val="0"/>
              <w:pageBreakBefore w:val="0"/>
              <w:widowControl/>
              <w:bidi w:val="0"/>
              <w:spacing w:line="240" w:lineRule="auto"/>
              <w:jc w:val="center"/>
              <w:rPr>
                <w:rFonts w:hint="eastAsia" w:ascii="楷体" w:hAnsi="楷体" w:eastAsia="楷体" w:cs="楷体"/>
                <w:b/>
                <w:bCs/>
                <w:color w:val="000000" w:themeColor="text1"/>
                <w:sz w:val="20"/>
                <w:szCs w:val="20"/>
                <w:highlight w:val="none"/>
                <w14:textFill>
                  <w14:solidFill>
                    <w14:schemeClr w14:val="tx1"/>
                  </w14:solidFill>
                </w14:textFill>
              </w:rPr>
            </w:pPr>
            <w:r>
              <w:rPr>
                <w:rFonts w:hint="eastAsia" w:ascii="楷体" w:hAnsi="楷体" w:eastAsia="楷体" w:cs="楷体"/>
                <w:b/>
                <w:bCs/>
                <w:color w:val="000000" w:themeColor="text1"/>
                <w:sz w:val="20"/>
                <w:szCs w:val="20"/>
                <w:highlight w:val="none"/>
                <w14:textFill>
                  <w14:solidFill>
                    <w14:schemeClr w14:val="tx1"/>
                  </w14:solidFill>
                </w14:textFill>
              </w:rPr>
              <w:t>起点销售金额</w:t>
            </w:r>
          </w:p>
        </w:tc>
        <w:tc>
          <w:tcPr>
            <w:tcW w:w="7478" w:type="dxa"/>
            <w:noWrap w:val="0"/>
            <w:vAlign w:val="center"/>
          </w:tcPr>
          <w:p>
            <w:pPr>
              <w:keepNext w:val="0"/>
              <w:keepLines w:val="0"/>
              <w:pageBreakBefore w:val="0"/>
              <w:widowControl/>
              <w:bidi w:val="0"/>
              <w:spacing w:line="240" w:lineRule="auto"/>
              <w:jc w:val="both"/>
              <w:rPr>
                <w:rFonts w:hint="eastAsia" w:ascii="楷体" w:hAnsi="楷体" w:eastAsia="楷体" w:cs="楷体"/>
                <w:bCs/>
                <w:color w:val="000000" w:themeColor="text1"/>
                <w:sz w:val="20"/>
                <w:szCs w:val="20"/>
                <w:highlight w:val="none"/>
                <w14:textFill>
                  <w14:solidFill>
                    <w14:schemeClr w14:val="tx1"/>
                  </w14:solidFill>
                </w14:textFill>
              </w:rPr>
            </w:pPr>
            <w:r>
              <w:rPr>
                <w:rFonts w:hint="eastAsia" w:ascii="楷体" w:hAnsi="楷体" w:eastAsia="楷体" w:cs="楷体"/>
                <w:bCs/>
                <w:color w:val="000000" w:themeColor="text1"/>
                <w:sz w:val="20"/>
                <w:szCs w:val="20"/>
                <w:highlight w:val="none"/>
                <w:lang w:val="en-US" w:eastAsia="zh-CN"/>
                <w14:textFill>
                  <w14:solidFill>
                    <w14:schemeClr w14:val="tx1"/>
                  </w14:solidFill>
                </w14:textFill>
              </w:rPr>
              <w:t>A份额：1元；</w:t>
            </w:r>
            <w:r>
              <w:rPr>
                <w:rFonts w:hint="eastAsia" w:ascii="楷体" w:hAnsi="楷体" w:eastAsia="楷体" w:cs="楷体"/>
                <w:bCs/>
                <w:color w:val="000000" w:themeColor="text1"/>
                <w:sz w:val="20"/>
                <w:szCs w:val="20"/>
                <w:highlight w:val="none"/>
                <w:lang w:val="en-US" w:eastAsia="zh-CN"/>
                <w14:textFill>
                  <w14:solidFill>
                    <w14:schemeClr w14:val="tx1"/>
                  </w14:solidFill>
                </w14:textFill>
              </w:rPr>
              <w:br w:type="textWrapping"/>
            </w:r>
            <w:r>
              <w:rPr>
                <w:rFonts w:hint="eastAsia" w:ascii="楷体" w:hAnsi="楷体" w:eastAsia="楷体" w:cs="楷体"/>
                <w:bCs/>
                <w:color w:val="000000" w:themeColor="text1"/>
                <w:sz w:val="20"/>
                <w:szCs w:val="20"/>
                <w:highlight w:val="none"/>
                <w:lang w:val="en-US" w:eastAsia="zh-CN"/>
                <w14:textFill>
                  <w14:solidFill>
                    <w14:schemeClr w14:val="tx1"/>
                  </w14:solidFill>
                </w14:textFill>
              </w:rPr>
              <w:t>B份额：1元；</w:t>
            </w:r>
            <w:r>
              <w:rPr>
                <w:rFonts w:hint="eastAsia" w:ascii="楷体" w:hAnsi="楷体" w:eastAsia="楷体" w:cs="楷体"/>
                <w:bCs/>
                <w:color w:val="000000" w:themeColor="text1"/>
                <w:sz w:val="20"/>
                <w:szCs w:val="20"/>
                <w:highlight w:val="none"/>
                <w:lang w:val="en-US" w:eastAsia="zh-CN"/>
                <w14:textFill>
                  <w14:solidFill>
                    <w14:schemeClr w14:val="tx1"/>
                  </w14:solidFill>
                </w14:textFill>
              </w:rPr>
              <w:br w:type="textWrapping"/>
            </w:r>
            <w:r>
              <w:rPr>
                <w:rFonts w:hint="eastAsia" w:ascii="楷体" w:hAnsi="楷体" w:eastAsia="楷体" w:cs="楷体"/>
                <w:bCs/>
                <w:color w:val="000000" w:themeColor="text1"/>
                <w:sz w:val="20"/>
                <w:szCs w:val="20"/>
                <w:highlight w:val="none"/>
                <w:lang w:val="en-US" w:eastAsia="zh-CN"/>
                <w14:textFill>
                  <w14:solidFill>
                    <w14:schemeClr w14:val="tx1"/>
                  </w14:solidFill>
                </w14:textFill>
              </w:rPr>
              <w:t>C份额：10,000元；</w:t>
            </w:r>
            <w:r>
              <w:rPr>
                <w:rFonts w:hint="eastAsia" w:ascii="楷体" w:hAnsi="楷体" w:eastAsia="楷体" w:cs="楷体"/>
                <w:bCs/>
                <w:color w:val="000000" w:themeColor="text1"/>
                <w:sz w:val="20"/>
                <w:szCs w:val="20"/>
                <w:highlight w:val="none"/>
                <w:lang w:val="en-US" w:eastAsia="zh-CN"/>
                <w14:textFill>
                  <w14:solidFill>
                    <w14:schemeClr w14:val="tx1"/>
                  </w14:solidFill>
                </w14:textFill>
              </w:rPr>
              <w:br w:type="textWrapping"/>
            </w:r>
            <w:r>
              <w:rPr>
                <w:rFonts w:hint="eastAsia" w:ascii="楷体" w:hAnsi="楷体" w:eastAsia="楷体" w:cs="楷体"/>
                <w:bCs/>
                <w:color w:val="000000" w:themeColor="text1"/>
                <w:sz w:val="20"/>
                <w:szCs w:val="20"/>
                <w:highlight w:val="none"/>
                <w:lang w:val="en-US" w:eastAsia="zh-CN"/>
                <w14:textFill>
                  <w14:solidFill>
                    <w14:schemeClr w14:val="tx1"/>
                  </w14:solidFill>
                </w14:textFill>
              </w:rPr>
              <w:t>D份额：1元；</w:t>
            </w:r>
            <w:r>
              <w:rPr>
                <w:rFonts w:hint="eastAsia" w:ascii="楷体" w:hAnsi="楷体" w:eastAsia="楷体" w:cs="楷体"/>
                <w:bCs/>
                <w:color w:val="000000" w:themeColor="text1"/>
                <w:sz w:val="20"/>
                <w:szCs w:val="20"/>
                <w:highlight w:val="none"/>
                <w:lang w:val="en-US" w:eastAsia="zh-CN"/>
                <w14:textFill>
                  <w14:solidFill>
                    <w14:schemeClr w14:val="tx1"/>
                  </w14:solidFill>
                </w14:textFill>
              </w:rPr>
              <w:br w:type="textWrapping"/>
            </w:r>
            <w:r>
              <w:rPr>
                <w:rFonts w:hint="eastAsia" w:ascii="楷体" w:hAnsi="楷体" w:eastAsia="楷体" w:cs="楷体"/>
                <w:bCs/>
                <w:color w:val="000000" w:themeColor="text1"/>
                <w:sz w:val="20"/>
                <w:szCs w:val="20"/>
                <w:highlight w:val="none"/>
                <w:lang w:val="en-US" w:eastAsia="zh-CN"/>
                <w14:textFill>
                  <w14:solidFill>
                    <w14:schemeClr w14:val="tx1"/>
                  </w14:solidFill>
                </w14:textFill>
              </w:rPr>
              <w:t>E份额：300,000元；</w:t>
            </w:r>
            <w:r>
              <w:rPr>
                <w:rFonts w:hint="eastAsia" w:ascii="楷体" w:hAnsi="楷体" w:eastAsia="楷体" w:cs="楷体"/>
                <w:bCs/>
                <w:color w:val="000000" w:themeColor="text1"/>
                <w:sz w:val="20"/>
                <w:szCs w:val="20"/>
                <w:highlight w:val="none"/>
                <w:lang w:val="en-US" w:eastAsia="zh-CN"/>
                <w14:textFill>
                  <w14:solidFill>
                    <w14:schemeClr w14:val="tx1"/>
                  </w14:solidFill>
                </w14:textFill>
              </w:rPr>
              <w:br w:type="textWrapping"/>
            </w:r>
            <w:r>
              <w:rPr>
                <w:rFonts w:hint="eastAsia" w:ascii="楷体" w:hAnsi="楷体" w:eastAsia="楷体" w:cs="楷体"/>
                <w:bCs/>
                <w:color w:val="000000" w:themeColor="text1"/>
                <w:sz w:val="20"/>
                <w:szCs w:val="20"/>
                <w:highlight w:val="none"/>
                <w:lang w:val="en-US" w:eastAsia="zh-CN"/>
                <w14:textFill>
                  <w14:solidFill>
                    <w14:schemeClr w14:val="tx1"/>
                  </w14:solidFill>
                </w14:textFill>
              </w:rPr>
              <w:t>F份额：1元；</w:t>
            </w:r>
            <w:r>
              <w:rPr>
                <w:rFonts w:hint="eastAsia" w:ascii="楷体" w:hAnsi="楷体" w:eastAsia="楷体" w:cs="楷体"/>
                <w:bCs/>
                <w:color w:val="000000" w:themeColor="text1"/>
                <w:sz w:val="20"/>
                <w:szCs w:val="20"/>
                <w:highlight w:val="none"/>
                <w:lang w:val="en-US" w:eastAsia="zh-CN"/>
                <w14:textFill>
                  <w14:solidFill>
                    <w14:schemeClr w14:val="tx1"/>
                  </w14:solidFill>
                </w14:textFill>
              </w:rPr>
              <w:br w:type="textWrapping"/>
            </w:r>
            <w:r>
              <w:rPr>
                <w:rFonts w:hint="eastAsia" w:ascii="楷体" w:hAnsi="楷体" w:eastAsia="楷体" w:cs="楷体"/>
                <w:bCs/>
                <w:color w:val="000000" w:themeColor="text1"/>
                <w:sz w:val="20"/>
                <w:szCs w:val="20"/>
                <w:highlight w:val="none"/>
                <w:lang w:val="en-US" w:eastAsia="zh-CN"/>
                <w14:textFill>
                  <w14:solidFill>
                    <w14:schemeClr w14:val="tx1"/>
                  </w14:solidFill>
                </w14:textFill>
              </w:rPr>
              <w:t>H份额：个人10,000元；</w:t>
            </w:r>
            <w:r>
              <w:rPr>
                <w:rFonts w:hint="eastAsia" w:ascii="楷体" w:hAnsi="楷体" w:eastAsia="楷体" w:cs="楷体"/>
                <w:bCs/>
                <w:color w:val="000000" w:themeColor="text1"/>
                <w:sz w:val="20"/>
                <w:szCs w:val="20"/>
                <w:highlight w:val="none"/>
                <w:lang w:val="en-US" w:eastAsia="zh-CN"/>
                <w14:textFill>
                  <w14:solidFill>
                    <w14:schemeClr w14:val="tx1"/>
                  </w14:solidFill>
                </w14:textFill>
              </w:rPr>
              <w:br w:type="textWrapping"/>
            </w:r>
            <w:r>
              <w:rPr>
                <w:rFonts w:hint="eastAsia" w:ascii="楷体" w:hAnsi="楷体" w:eastAsia="楷体" w:cs="楷体"/>
                <w:bCs/>
                <w:color w:val="000000" w:themeColor="text1"/>
                <w:sz w:val="20"/>
                <w:szCs w:val="20"/>
                <w:highlight w:val="none"/>
                <w:lang w:val="en-US" w:eastAsia="zh-CN"/>
                <w14:textFill>
                  <w14:solidFill>
                    <w14:schemeClr w14:val="tx1"/>
                  </w14:solidFill>
                </w14:textFill>
              </w:rPr>
              <w:t>J份额：1元；</w:t>
            </w:r>
            <w:r>
              <w:rPr>
                <w:rFonts w:hint="eastAsia" w:ascii="楷体" w:hAnsi="楷体" w:eastAsia="楷体" w:cs="楷体"/>
                <w:bCs/>
                <w:color w:val="000000" w:themeColor="text1"/>
                <w:sz w:val="20"/>
                <w:szCs w:val="20"/>
                <w:highlight w:val="none"/>
                <w:lang w:val="en-US" w:eastAsia="zh-CN"/>
                <w14:textFill>
                  <w14:solidFill>
                    <w14:schemeClr w14:val="tx1"/>
                  </w14:solidFill>
                </w14:textFill>
              </w:rPr>
              <w:br w:type="textWrapping"/>
            </w:r>
            <w:r>
              <w:rPr>
                <w:rFonts w:hint="eastAsia" w:ascii="楷体" w:hAnsi="楷体" w:eastAsia="楷体" w:cs="楷体"/>
                <w:bCs/>
                <w:color w:val="000000" w:themeColor="text1"/>
                <w:sz w:val="20"/>
                <w:szCs w:val="20"/>
                <w:highlight w:val="none"/>
                <w:lang w:val="en-US" w:eastAsia="zh-CN"/>
                <w14:textFill>
                  <w14:solidFill>
                    <w14:schemeClr w14:val="tx1"/>
                  </w14:solidFill>
                </w14:textFill>
              </w:rPr>
              <w:t>K份额：1元；</w:t>
            </w:r>
            <w:r>
              <w:rPr>
                <w:rFonts w:hint="eastAsia" w:ascii="楷体" w:hAnsi="楷体" w:eastAsia="楷体" w:cs="楷体"/>
                <w:bCs/>
                <w:color w:val="000000" w:themeColor="text1"/>
                <w:sz w:val="20"/>
                <w:szCs w:val="20"/>
                <w:highlight w:val="none"/>
                <w:lang w:val="en-US" w:eastAsia="zh-CN"/>
                <w14:textFill>
                  <w14:solidFill>
                    <w14:schemeClr w14:val="tx1"/>
                  </w14:solidFill>
                </w14:textFill>
              </w:rPr>
              <w:br w:type="textWrapping"/>
            </w:r>
            <w:r>
              <w:rPr>
                <w:rFonts w:hint="eastAsia" w:ascii="楷体" w:hAnsi="楷体" w:eastAsia="楷体" w:cs="楷体"/>
                <w:bCs/>
                <w:color w:val="000000" w:themeColor="text1"/>
                <w:sz w:val="20"/>
                <w:szCs w:val="20"/>
                <w:highlight w:val="none"/>
                <w:lang w:val="en-US" w:eastAsia="zh-CN"/>
                <w14:textFill>
                  <w14:solidFill>
                    <w14:schemeClr w14:val="tx1"/>
                  </w14:solidFill>
                </w14:textFill>
              </w:rPr>
              <w:t>L份额：1元；</w:t>
            </w:r>
            <w:r>
              <w:rPr>
                <w:rFonts w:hint="eastAsia" w:ascii="楷体" w:hAnsi="楷体" w:eastAsia="楷体" w:cs="楷体"/>
                <w:bCs/>
                <w:color w:val="000000" w:themeColor="text1"/>
                <w:sz w:val="20"/>
                <w:szCs w:val="20"/>
                <w:highlight w:val="none"/>
                <w:lang w:val="en-US" w:eastAsia="zh-CN"/>
                <w14:textFill>
                  <w14:solidFill>
                    <w14:schemeClr w14:val="tx1"/>
                  </w14:solidFill>
                </w14:textFill>
              </w:rPr>
              <w:br w:type="textWrapping"/>
            </w:r>
            <w:r>
              <w:rPr>
                <w:rFonts w:hint="eastAsia" w:ascii="楷体" w:hAnsi="楷体" w:eastAsia="楷体" w:cs="楷体"/>
                <w:bCs/>
                <w:color w:val="000000" w:themeColor="text1"/>
                <w:sz w:val="20"/>
                <w:szCs w:val="20"/>
                <w:highlight w:val="none"/>
                <w:lang w:val="en-US" w:eastAsia="zh-CN"/>
                <w14:textFill>
                  <w14:solidFill>
                    <w14:schemeClr w14:val="tx1"/>
                  </w14:solidFill>
                </w14:textFill>
              </w:rPr>
              <w:t>N份额：1元；</w:t>
            </w:r>
            <w:r>
              <w:rPr>
                <w:rFonts w:hint="eastAsia" w:ascii="楷体" w:hAnsi="楷体" w:eastAsia="楷体" w:cs="楷体"/>
                <w:bCs/>
                <w:color w:val="000000" w:themeColor="text1"/>
                <w:sz w:val="20"/>
                <w:szCs w:val="20"/>
                <w:highlight w:val="none"/>
                <w:lang w:val="en-US" w:eastAsia="zh-CN"/>
                <w14:textFill>
                  <w14:solidFill>
                    <w14:schemeClr w14:val="tx1"/>
                  </w14:solidFill>
                </w14:textFill>
              </w:rPr>
              <w:br w:type="textWrapping"/>
            </w:r>
            <w:r>
              <w:rPr>
                <w:rFonts w:hint="eastAsia" w:ascii="楷体" w:hAnsi="楷体" w:eastAsia="楷体" w:cs="楷体"/>
                <w:bCs/>
                <w:color w:val="000000" w:themeColor="text1"/>
                <w:sz w:val="20"/>
                <w:szCs w:val="20"/>
                <w:highlight w:val="none"/>
                <w:lang w:val="en-US" w:eastAsia="zh-CN"/>
                <w14:textFill>
                  <w14:solidFill>
                    <w14:schemeClr w14:val="tx1"/>
                  </w14:solidFill>
                </w14:textFill>
              </w:rPr>
              <w:t>P份额：1元；</w:t>
            </w:r>
            <w:r>
              <w:rPr>
                <w:rFonts w:hint="eastAsia" w:ascii="楷体" w:hAnsi="楷体" w:eastAsia="楷体" w:cs="楷体"/>
                <w:bCs/>
                <w:color w:val="000000" w:themeColor="text1"/>
                <w:sz w:val="20"/>
                <w:szCs w:val="20"/>
                <w:highlight w:val="none"/>
                <w:lang w:val="en-US" w:eastAsia="zh-CN"/>
                <w14:textFill>
                  <w14:solidFill>
                    <w14:schemeClr w14:val="tx1"/>
                  </w14:solidFill>
                </w14:textFill>
              </w:rPr>
              <w:br w:type="textWrapping"/>
            </w:r>
            <w:r>
              <w:rPr>
                <w:rFonts w:hint="eastAsia" w:ascii="楷体" w:hAnsi="楷体" w:eastAsia="楷体" w:cs="楷体"/>
                <w:bCs/>
                <w:color w:val="000000" w:themeColor="text1"/>
                <w:sz w:val="20"/>
                <w:szCs w:val="20"/>
                <w:highlight w:val="none"/>
                <w:lang w:val="en-US" w:eastAsia="zh-CN"/>
                <w14:textFill>
                  <w14:solidFill>
                    <w14:schemeClr w14:val="tx1"/>
                  </w14:solidFill>
                </w14:textFill>
              </w:rPr>
              <w:t>JS份额：1元；</w:t>
            </w:r>
            <w:r>
              <w:rPr>
                <w:rFonts w:hint="eastAsia" w:ascii="楷体" w:hAnsi="楷体" w:eastAsia="楷体" w:cs="楷体"/>
                <w:bCs/>
                <w:color w:val="000000" w:themeColor="text1"/>
                <w:sz w:val="20"/>
                <w:szCs w:val="20"/>
                <w:highlight w:val="none"/>
                <w:lang w:val="en-US" w:eastAsia="zh-CN"/>
                <w14:textFill>
                  <w14:solidFill>
                    <w14:schemeClr w14:val="tx1"/>
                  </w14:solidFill>
                </w14:textFill>
              </w:rPr>
              <w:br w:type="textWrapping"/>
            </w:r>
            <w:r>
              <w:rPr>
                <w:rFonts w:hint="eastAsia" w:ascii="楷体" w:hAnsi="楷体" w:eastAsia="楷体" w:cs="楷体"/>
                <w:bCs/>
                <w:color w:val="000000" w:themeColor="text1"/>
                <w:sz w:val="20"/>
                <w:szCs w:val="20"/>
                <w:highlight w:val="none"/>
                <w:lang w:val="en-US" w:eastAsia="zh-CN"/>
                <w14:textFill>
                  <w14:solidFill>
                    <w14:schemeClr w14:val="tx1"/>
                  </w14:solidFill>
                </w14:textFill>
              </w:rPr>
              <w:t>G份额：1元；</w:t>
            </w:r>
            <w:r>
              <w:rPr>
                <w:rFonts w:hint="eastAsia" w:ascii="楷体" w:hAnsi="楷体" w:eastAsia="楷体" w:cs="楷体"/>
                <w:bCs/>
                <w:color w:val="000000" w:themeColor="text1"/>
                <w:sz w:val="20"/>
                <w:szCs w:val="20"/>
                <w:highlight w:val="none"/>
                <w:lang w:val="en-US" w:eastAsia="zh-CN"/>
                <w14:textFill>
                  <w14:solidFill>
                    <w14:schemeClr w14:val="tx1"/>
                  </w14:solidFill>
                </w14:textFill>
              </w:rPr>
              <w:br w:type="textWrapping"/>
            </w:r>
            <w:r>
              <w:rPr>
                <w:rFonts w:hint="eastAsia" w:ascii="楷体" w:hAnsi="楷体" w:eastAsia="楷体" w:cs="楷体"/>
                <w:bCs/>
                <w:color w:val="000000" w:themeColor="text1"/>
                <w:sz w:val="20"/>
                <w:szCs w:val="20"/>
                <w:highlight w:val="none"/>
                <w:lang w:val="en-US" w:eastAsia="zh-CN"/>
                <w14:textFill>
                  <w14:solidFill>
                    <w14:schemeClr w14:val="tx1"/>
                  </w14:solidFill>
                </w14:textFill>
              </w:rPr>
              <w:t>I份额：1元；</w:t>
            </w:r>
            <w:r>
              <w:rPr>
                <w:rFonts w:hint="eastAsia" w:ascii="楷体" w:hAnsi="楷体" w:eastAsia="楷体" w:cs="楷体"/>
                <w:bCs/>
                <w:color w:val="000000" w:themeColor="text1"/>
                <w:sz w:val="20"/>
                <w:szCs w:val="20"/>
                <w:highlight w:val="none"/>
                <w:lang w:val="en-US" w:eastAsia="zh-CN"/>
                <w14:textFill>
                  <w14:solidFill>
                    <w14:schemeClr w14:val="tx1"/>
                  </w14:solidFill>
                </w14:textFill>
              </w:rPr>
              <w:br w:type="textWrapping"/>
            </w:r>
            <w:r>
              <w:rPr>
                <w:rFonts w:hint="eastAsia" w:ascii="楷体" w:hAnsi="楷体" w:eastAsia="楷体" w:cs="楷体"/>
                <w:bCs/>
                <w:color w:val="000000" w:themeColor="text1"/>
                <w:sz w:val="20"/>
                <w:szCs w:val="20"/>
                <w:highlight w:val="none"/>
                <w:lang w:val="en-US" w:eastAsia="zh-CN"/>
                <w14:textFill>
                  <w14:solidFill>
                    <w14:schemeClr w14:val="tx1"/>
                  </w14:solidFill>
                </w14:textFill>
              </w:rPr>
              <w:t>M份额：1元；</w:t>
            </w:r>
            <w:r>
              <w:rPr>
                <w:rFonts w:hint="eastAsia" w:ascii="楷体" w:hAnsi="楷体" w:eastAsia="楷体" w:cs="楷体"/>
                <w:bCs/>
                <w:color w:val="000000" w:themeColor="text1"/>
                <w:sz w:val="20"/>
                <w:szCs w:val="20"/>
                <w:highlight w:val="none"/>
                <w:lang w:val="en-US" w:eastAsia="zh-CN"/>
                <w14:textFill>
                  <w14:solidFill>
                    <w14:schemeClr w14:val="tx1"/>
                  </w14:solidFill>
                </w14:textFill>
              </w:rPr>
              <w:br w:type="textWrapping"/>
            </w:r>
            <w:r>
              <w:rPr>
                <w:rFonts w:hint="eastAsia" w:ascii="楷体" w:hAnsi="楷体" w:eastAsia="楷体" w:cs="楷体"/>
                <w:bCs/>
                <w:color w:val="000000" w:themeColor="text1"/>
                <w:sz w:val="20"/>
                <w:szCs w:val="20"/>
                <w:highlight w:val="none"/>
                <w:lang w:val="en-US" w:eastAsia="zh-CN"/>
                <w14:textFill>
                  <w14:solidFill>
                    <w14:schemeClr w14:val="tx1"/>
                  </w14:solidFill>
                </w14:textFill>
              </w:rPr>
              <w:t>O份额：1元；</w:t>
            </w:r>
            <w:r>
              <w:rPr>
                <w:rFonts w:hint="eastAsia" w:ascii="楷体" w:hAnsi="楷体" w:eastAsia="楷体" w:cs="楷体"/>
                <w:bCs/>
                <w:color w:val="000000" w:themeColor="text1"/>
                <w:sz w:val="20"/>
                <w:szCs w:val="20"/>
                <w:highlight w:val="none"/>
                <w:lang w:val="en-US" w:eastAsia="zh-CN"/>
                <w14:textFill>
                  <w14:solidFill>
                    <w14:schemeClr w14:val="tx1"/>
                  </w14:solidFill>
                </w14:textFill>
              </w:rPr>
              <w:br w:type="textWrapping"/>
            </w:r>
            <w:r>
              <w:rPr>
                <w:rFonts w:hint="eastAsia" w:ascii="楷体" w:hAnsi="楷体" w:eastAsia="楷体" w:cs="楷体"/>
                <w:bCs/>
                <w:color w:val="000000" w:themeColor="text1"/>
                <w:sz w:val="20"/>
                <w:szCs w:val="20"/>
                <w:highlight w:val="none"/>
                <w:lang w:val="en-US" w:eastAsia="zh-CN"/>
                <w14:textFill>
                  <w14:solidFill>
                    <w14:schemeClr w14:val="tx1"/>
                  </w14:solidFill>
                </w14:textFill>
              </w:rPr>
              <w:t>Z份额：1元。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178" w:type="dxa"/>
            <w:noWrap w:val="0"/>
            <w:vAlign w:val="center"/>
          </w:tcPr>
          <w:p>
            <w:pPr>
              <w:keepNext w:val="0"/>
              <w:keepLines w:val="0"/>
              <w:pageBreakBefore w:val="0"/>
              <w:widowControl/>
              <w:bidi w:val="0"/>
              <w:spacing w:line="240" w:lineRule="auto"/>
              <w:jc w:val="center"/>
              <w:rPr>
                <w:rFonts w:hint="eastAsia" w:ascii="楷体" w:hAnsi="楷体" w:eastAsia="楷体" w:cs="楷体"/>
                <w:b/>
                <w:bCs/>
                <w:color w:val="000000" w:themeColor="text1"/>
                <w:sz w:val="20"/>
                <w:szCs w:val="20"/>
                <w:highlight w:val="none"/>
                <w14:textFill>
                  <w14:solidFill>
                    <w14:schemeClr w14:val="tx1"/>
                  </w14:solidFill>
                </w14:textFill>
              </w:rPr>
            </w:pPr>
            <w:r>
              <w:rPr>
                <w:rFonts w:hint="eastAsia" w:ascii="楷体" w:hAnsi="楷体" w:eastAsia="楷体" w:cs="楷体"/>
                <w:b/>
                <w:bCs/>
                <w:color w:val="000000" w:themeColor="text1"/>
                <w:sz w:val="20"/>
                <w:szCs w:val="20"/>
                <w:highlight w:val="none"/>
                <w14:textFill>
                  <w14:solidFill>
                    <w14:schemeClr w14:val="tx1"/>
                  </w14:solidFill>
                </w14:textFill>
              </w:rPr>
              <w:t>追加递增金额</w:t>
            </w:r>
          </w:p>
        </w:tc>
        <w:tc>
          <w:tcPr>
            <w:tcW w:w="7478" w:type="dxa"/>
            <w:noWrap w:val="0"/>
            <w:vAlign w:val="center"/>
          </w:tcPr>
          <w:p>
            <w:pPr>
              <w:keepNext w:val="0"/>
              <w:keepLines w:val="0"/>
              <w:pageBreakBefore w:val="0"/>
              <w:widowControl/>
              <w:bidi w:val="0"/>
              <w:spacing w:line="240" w:lineRule="auto"/>
              <w:jc w:val="both"/>
              <w:rPr>
                <w:rFonts w:hint="eastAsia" w:ascii="楷体" w:hAnsi="楷体" w:eastAsia="楷体" w:cs="楷体"/>
                <w:bCs/>
                <w:color w:val="000000" w:themeColor="text1"/>
                <w:sz w:val="20"/>
                <w:szCs w:val="20"/>
                <w:highlight w:val="none"/>
                <w14:textFill>
                  <w14:solidFill>
                    <w14:schemeClr w14:val="tx1"/>
                  </w14:solidFill>
                </w14:textFill>
              </w:rPr>
            </w:pPr>
            <w:r>
              <w:rPr>
                <w:rFonts w:hint="eastAsia" w:ascii="楷体" w:hAnsi="楷体" w:eastAsia="楷体" w:cs="楷体"/>
                <w:bCs/>
                <w:color w:val="000000" w:themeColor="text1"/>
                <w:sz w:val="20"/>
                <w:szCs w:val="20"/>
                <w:highlight w:val="none"/>
                <w:lang w:val="en-US" w:eastAsia="zh-CN"/>
                <w14:textFill>
                  <w14:solidFill>
                    <w14:schemeClr w14:val="tx1"/>
                  </w14:solidFill>
                </w14:textFill>
              </w:rPr>
              <w:t>A份额：1元；</w:t>
            </w:r>
            <w:r>
              <w:rPr>
                <w:rFonts w:hint="eastAsia" w:ascii="楷体" w:hAnsi="楷体" w:eastAsia="楷体" w:cs="楷体"/>
                <w:bCs/>
                <w:color w:val="000000" w:themeColor="text1"/>
                <w:sz w:val="20"/>
                <w:szCs w:val="20"/>
                <w:highlight w:val="none"/>
                <w:lang w:val="en-US" w:eastAsia="zh-CN"/>
                <w14:textFill>
                  <w14:solidFill>
                    <w14:schemeClr w14:val="tx1"/>
                  </w14:solidFill>
                </w14:textFill>
              </w:rPr>
              <w:br w:type="textWrapping"/>
            </w:r>
            <w:r>
              <w:rPr>
                <w:rFonts w:hint="eastAsia" w:ascii="楷体" w:hAnsi="楷体" w:eastAsia="楷体" w:cs="楷体"/>
                <w:bCs/>
                <w:color w:val="000000" w:themeColor="text1"/>
                <w:sz w:val="20"/>
                <w:szCs w:val="20"/>
                <w:highlight w:val="none"/>
                <w:lang w:val="en-US" w:eastAsia="zh-CN"/>
                <w14:textFill>
                  <w14:solidFill>
                    <w14:schemeClr w14:val="tx1"/>
                  </w14:solidFill>
                </w14:textFill>
              </w:rPr>
              <w:t>B份额：1元；</w:t>
            </w:r>
            <w:r>
              <w:rPr>
                <w:rFonts w:hint="eastAsia" w:ascii="楷体" w:hAnsi="楷体" w:eastAsia="楷体" w:cs="楷体"/>
                <w:bCs/>
                <w:color w:val="000000" w:themeColor="text1"/>
                <w:sz w:val="20"/>
                <w:szCs w:val="20"/>
                <w:highlight w:val="none"/>
                <w:lang w:val="en-US" w:eastAsia="zh-CN"/>
                <w14:textFill>
                  <w14:solidFill>
                    <w14:schemeClr w14:val="tx1"/>
                  </w14:solidFill>
                </w14:textFill>
              </w:rPr>
              <w:br w:type="textWrapping"/>
            </w:r>
            <w:r>
              <w:rPr>
                <w:rFonts w:hint="eastAsia" w:ascii="楷体" w:hAnsi="楷体" w:eastAsia="楷体" w:cs="楷体"/>
                <w:bCs/>
                <w:color w:val="000000" w:themeColor="text1"/>
                <w:sz w:val="20"/>
                <w:szCs w:val="20"/>
                <w:highlight w:val="none"/>
                <w:lang w:val="en-US" w:eastAsia="zh-CN"/>
                <w14:textFill>
                  <w14:solidFill>
                    <w14:schemeClr w14:val="tx1"/>
                  </w14:solidFill>
                </w14:textFill>
              </w:rPr>
              <w:t>C份额：10,000元；</w:t>
            </w:r>
            <w:r>
              <w:rPr>
                <w:rFonts w:hint="eastAsia" w:ascii="楷体" w:hAnsi="楷体" w:eastAsia="楷体" w:cs="楷体"/>
                <w:bCs/>
                <w:color w:val="000000" w:themeColor="text1"/>
                <w:sz w:val="20"/>
                <w:szCs w:val="20"/>
                <w:highlight w:val="none"/>
                <w:lang w:val="en-US" w:eastAsia="zh-CN"/>
                <w14:textFill>
                  <w14:solidFill>
                    <w14:schemeClr w14:val="tx1"/>
                  </w14:solidFill>
                </w14:textFill>
              </w:rPr>
              <w:br w:type="textWrapping"/>
            </w:r>
            <w:r>
              <w:rPr>
                <w:rFonts w:hint="eastAsia" w:ascii="楷体" w:hAnsi="楷体" w:eastAsia="楷体" w:cs="楷体"/>
                <w:bCs/>
                <w:color w:val="000000" w:themeColor="text1"/>
                <w:sz w:val="20"/>
                <w:szCs w:val="20"/>
                <w:highlight w:val="none"/>
                <w:lang w:val="en-US" w:eastAsia="zh-CN"/>
                <w14:textFill>
                  <w14:solidFill>
                    <w14:schemeClr w14:val="tx1"/>
                  </w14:solidFill>
                </w14:textFill>
              </w:rPr>
              <w:t>D份额：1元；</w:t>
            </w:r>
            <w:r>
              <w:rPr>
                <w:rFonts w:hint="eastAsia" w:ascii="楷体" w:hAnsi="楷体" w:eastAsia="楷体" w:cs="楷体"/>
                <w:bCs/>
                <w:color w:val="000000" w:themeColor="text1"/>
                <w:sz w:val="20"/>
                <w:szCs w:val="20"/>
                <w:highlight w:val="none"/>
                <w:lang w:val="en-US" w:eastAsia="zh-CN"/>
                <w14:textFill>
                  <w14:solidFill>
                    <w14:schemeClr w14:val="tx1"/>
                  </w14:solidFill>
                </w14:textFill>
              </w:rPr>
              <w:br w:type="textWrapping"/>
            </w:r>
            <w:r>
              <w:rPr>
                <w:rFonts w:hint="eastAsia" w:ascii="楷体" w:hAnsi="楷体" w:eastAsia="楷体" w:cs="楷体"/>
                <w:bCs/>
                <w:color w:val="000000" w:themeColor="text1"/>
                <w:sz w:val="20"/>
                <w:szCs w:val="20"/>
                <w:highlight w:val="none"/>
                <w:lang w:val="en-US" w:eastAsia="zh-CN"/>
                <w14:textFill>
                  <w14:solidFill>
                    <w14:schemeClr w14:val="tx1"/>
                  </w14:solidFill>
                </w14:textFill>
              </w:rPr>
              <w:t>E份额：100,000元；</w:t>
            </w:r>
            <w:r>
              <w:rPr>
                <w:rFonts w:hint="eastAsia" w:ascii="楷体" w:hAnsi="楷体" w:eastAsia="楷体" w:cs="楷体"/>
                <w:bCs/>
                <w:color w:val="000000" w:themeColor="text1"/>
                <w:sz w:val="20"/>
                <w:szCs w:val="20"/>
                <w:highlight w:val="none"/>
                <w:lang w:val="en-US" w:eastAsia="zh-CN"/>
                <w14:textFill>
                  <w14:solidFill>
                    <w14:schemeClr w14:val="tx1"/>
                  </w14:solidFill>
                </w14:textFill>
              </w:rPr>
              <w:br w:type="textWrapping"/>
            </w:r>
            <w:r>
              <w:rPr>
                <w:rFonts w:hint="eastAsia" w:ascii="楷体" w:hAnsi="楷体" w:eastAsia="楷体" w:cs="楷体"/>
                <w:bCs/>
                <w:color w:val="000000" w:themeColor="text1"/>
                <w:sz w:val="20"/>
                <w:szCs w:val="20"/>
                <w:highlight w:val="none"/>
                <w:lang w:val="en-US" w:eastAsia="zh-CN"/>
                <w14:textFill>
                  <w14:solidFill>
                    <w14:schemeClr w14:val="tx1"/>
                  </w14:solidFill>
                </w14:textFill>
              </w:rPr>
              <w:t>F份额：1元；</w:t>
            </w:r>
            <w:r>
              <w:rPr>
                <w:rFonts w:hint="eastAsia" w:ascii="楷体" w:hAnsi="楷体" w:eastAsia="楷体" w:cs="楷体"/>
                <w:bCs/>
                <w:color w:val="000000" w:themeColor="text1"/>
                <w:sz w:val="20"/>
                <w:szCs w:val="20"/>
                <w:highlight w:val="none"/>
                <w:lang w:val="en-US" w:eastAsia="zh-CN"/>
                <w14:textFill>
                  <w14:solidFill>
                    <w14:schemeClr w14:val="tx1"/>
                  </w14:solidFill>
                </w14:textFill>
              </w:rPr>
              <w:br w:type="textWrapping"/>
            </w:r>
            <w:r>
              <w:rPr>
                <w:rFonts w:hint="eastAsia" w:ascii="楷体" w:hAnsi="楷体" w:eastAsia="楷体" w:cs="楷体"/>
                <w:bCs/>
                <w:color w:val="000000" w:themeColor="text1"/>
                <w:sz w:val="20"/>
                <w:szCs w:val="20"/>
                <w:highlight w:val="none"/>
                <w:lang w:val="en-US" w:eastAsia="zh-CN"/>
                <w14:textFill>
                  <w14:solidFill>
                    <w14:schemeClr w14:val="tx1"/>
                  </w14:solidFill>
                </w14:textFill>
              </w:rPr>
              <w:t>H份额：个人10,000元；</w:t>
            </w:r>
            <w:r>
              <w:rPr>
                <w:rFonts w:hint="eastAsia" w:ascii="楷体" w:hAnsi="楷体" w:eastAsia="楷体" w:cs="楷体"/>
                <w:bCs/>
                <w:color w:val="000000" w:themeColor="text1"/>
                <w:sz w:val="20"/>
                <w:szCs w:val="20"/>
                <w:highlight w:val="none"/>
                <w:lang w:val="en-US" w:eastAsia="zh-CN"/>
                <w14:textFill>
                  <w14:solidFill>
                    <w14:schemeClr w14:val="tx1"/>
                  </w14:solidFill>
                </w14:textFill>
              </w:rPr>
              <w:br w:type="textWrapping"/>
            </w:r>
            <w:r>
              <w:rPr>
                <w:rFonts w:hint="eastAsia" w:ascii="楷体" w:hAnsi="楷体" w:eastAsia="楷体" w:cs="楷体"/>
                <w:bCs/>
                <w:color w:val="000000" w:themeColor="text1"/>
                <w:sz w:val="20"/>
                <w:szCs w:val="20"/>
                <w:highlight w:val="none"/>
                <w:lang w:val="en-US" w:eastAsia="zh-CN"/>
                <w14:textFill>
                  <w14:solidFill>
                    <w14:schemeClr w14:val="tx1"/>
                  </w14:solidFill>
                </w14:textFill>
              </w:rPr>
              <w:t>J份额：1元；</w:t>
            </w:r>
            <w:r>
              <w:rPr>
                <w:rFonts w:hint="eastAsia" w:ascii="楷体" w:hAnsi="楷体" w:eastAsia="楷体" w:cs="楷体"/>
                <w:bCs/>
                <w:color w:val="000000" w:themeColor="text1"/>
                <w:sz w:val="20"/>
                <w:szCs w:val="20"/>
                <w:highlight w:val="none"/>
                <w:lang w:val="en-US" w:eastAsia="zh-CN"/>
                <w14:textFill>
                  <w14:solidFill>
                    <w14:schemeClr w14:val="tx1"/>
                  </w14:solidFill>
                </w14:textFill>
              </w:rPr>
              <w:br w:type="textWrapping"/>
            </w:r>
            <w:r>
              <w:rPr>
                <w:rFonts w:hint="eastAsia" w:ascii="楷体" w:hAnsi="楷体" w:eastAsia="楷体" w:cs="楷体"/>
                <w:bCs/>
                <w:color w:val="000000" w:themeColor="text1"/>
                <w:sz w:val="20"/>
                <w:szCs w:val="20"/>
                <w:highlight w:val="none"/>
                <w:lang w:val="en-US" w:eastAsia="zh-CN"/>
                <w14:textFill>
                  <w14:solidFill>
                    <w14:schemeClr w14:val="tx1"/>
                  </w14:solidFill>
                </w14:textFill>
              </w:rPr>
              <w:t>K份额：1元；</w:t>
            </w:r>
            <w:r>
              <w:rPr>
                <w:rFonts w:hint="eastAsia" w:ascii="楷体" w:hAnsi="楷体" w:eastAsia="楷体" w:cs="楷体"/>
                <w:bCs/>
                <w:color w:val="000000" w:themeColor="text1"/>
                <w:sz w:val="20"/>
                <w:szCs w:val="20"/>
                <w:highlight w:val="none"/>
                <w:lang w:val="en-US" w:eastAsia="zh-CN"/>
                <w14:textFill>
                  <w14:solidFill>
                    <w14:schemeClr w14:val="tx1"/>
                  </w14:solidFill>
                </w14:textFill>
              </w:rPr>
              <w:br w:type="textWrapping"/>
            </w:r>
            <w:r>
              <w:rPr>
                <w:rFonts w:hint="eastAsia" w:ascii="楷体" w:hAnsi="楷体" w:eastAsia="楷体" w:cs="楷体"/>
                <w:bCs/>
                <w:color w:val="000000" w:themeColor="text1"/>
                <w:sz w:val="20"/>
                <w:szCs w:val="20"/>
                <w:highlight w:val="none"/>
                <w:lang w:val="en-US" w:eastAsia="zh-CN"/>
                <w14:textFill>
                  <w14:solidFill>
                    <w14:schemeClr w14:val="tx1"/>
                  </w14:solidFill>
                </w14:textFill>
              </w:rPr>
              <w:t>L份额：1元；</w:t>
            </w:r>
            <w:r>
              <w:rPr>
                <w:rFonts w:hint="eastAsia" w:ascii="楷体" w:hAnsi="楷体" w:eastAsia="楷体" w:cs="楷体"/>
                <w:bCs/>
                <w:color w:val="000000" w:themeColor="text1"/>
                <w:sz w:val="20"/>
                <w:szCs w:val="20"/>
                <w:highlight w:val="none"/>
                <w:lang w:val="en-US" w:eastAsia="zh-CN"/>
                <w14:textFill>
                  <w14:solidFill>
                    <w14:schemeClr w14:val="tx1"/>
                  </w14:solidFill>
                </w14:textFill>
              </w:rPr>
              <w:br w:type="textWrapping"/>
            </w:r>
            <w:r>
              <w:rPr>
                <w:rFonts w:hint="eastAsia" w:ascii="楷体" w:hAnsi="楷体" w:eastAsia="楷体" w:cs="楷体"/>
                <w:bCs/>
                <w:color w:val="000000" w:themeColor="text1"/>
                <w:sz w:val="20"/>
                <w:szCs w:val="20"/>
                <w:highlight w:val="none"/>
                <w:lang w:val="en-US" w:eastAsia="zh-CN"/>
                <w14:textFill>
                  <w14:solidFill>
                    <w14:schemeClr w14:val="tx1"/>
                  </w14:solidFill>
                </w14:textFill>
              </w:rPr>
              <w:t>N份额：1元；</w:t>
            </w:r>
            <w:r>
              <w:rPr>
                <w:rFonts w:hint="eastAsia" w:ascii="楷体" w:hAnsi="楷体" w:eastAsia="楷体" w:cs="楷体"/>
                <w:bCs/>
                <w:color w:val="000000" w:themeColor="text1"/>
                <w:sz w:val="20"/>
                <w:szCs w:val="20"/>
                <w:highlight w:val="none"/>
                <w:lang w:val="en-US" w:eastAsia="zh-CN"/>
                <w14:textFill>
                  <w14:solidFill>
                    <w14:schemeClr w14:val="tx1"/>
                  </w14:solidFill>
                </w14:textFill>
              </w:rPr>
              <w:br w:type="textWrapping"/>
            </w:r>
            <w:r>
              <w:rPr>
                <w:rFonts w:hint="eastAsia" w:ascii="楷体" w:hAnsi="楷体" w:eastAsia="楷体" w:cs="楷体"/>
                <w:bCs/>
                <w:color w:val="000000" w:themeColor="text1"/>
                <w:sz w:val="20"/>
                <w:szCs w:val="20"/>
                <w:highlight w:val="none"/>
                <w:lang w:val="en-US" w:eastAsia="zh-CN"/>
                <w14:textFill>
                  <w14:solidFill>
                    <w14:schemeClr w14:val="tx1"/>
                  </w14:solidFill>
                </w14:textFill>
              </w:rPr>
              <w:t>P份额：1元；</w:t>
            </w:r>
            <w:r>
              <w:rPr>
                <w:rFonts w:hint="eastAsia" w:ascii="楷体" w:hAnsi="楷体" w:eastAsia="楷体" w:cs="楷体"/>
                <w:bCs/>
                <w:color w:val="000000" w:themeColor="text1"/>
                <w:sz w:val="20"/>
                <w:szCs w:val="20"/>
                <w:highlight w:val="none"/>
                <w:lang w:val="en-US" w:eastAsia="zh-CN"/>
                <w14:textFill>
                  <w14:solidFill>
                    <w14:schemeClr w14:val="tx1"/>
                  </w14:solidFill>
                </w14:textFill>
              </w:rPr>
              <w:br w:type="textWrapping"/>
            </w:r>
            <w:r>
              <w:rPr>
                <w:rFonts w:hint="eastAsia" w:ascii="楷体" w:hAnsi="楷体" w:eastAsia="楷体" w:cs="楷体"/>
                <w:bCs/>
                <w:color w:val="000000" w:themeColor="text1"/>
                <w:sz w:val="20"/>
                <w:szCs w:val="20"/>
                <w:highlight w:val="none"/>
                <w:lang w:val="en-US" w:eastAsia="zh-CN"/>
                <w14:textFill>
                  <w14:solidFill>
                    <w14:schemeClr w14:val="tx1"/>
                  </w14:solidFill>
                </w14:textFill>
              </w:rPr>
              <w:t>JS份额：1元；</w:t>
            </w:r>
            <w:r>
              <w:rPr>
                <w:rFonts w:hint="eastAsia" w:ascii="楷体" w:hAnsi="楷体" w:eastAsia="楷体" w:cs="楷体"/>
                <w:bCs/>
                <w:color w:val="000000" w:themeColor="text1"/>
                <w:sz w:val="20"/>
                <w:szCs w:val="20"/>
                <w:highlight w:val="none"/>
                <w:lang w:val="en-US" w:eastAsia="zh-CN"/>
                <w14:textFill>
                  <w14:solidFill>
                    <w14:schemeClr w14:val="tx1"/>
                  </w14:solidFill>
                </w14:textFill>
              </w:rPr>
              <w:br w:type="textWrapping"/>
            </w:r>
            <w:r>
              <w:rPr>
                <w:rFonts w:hint="eastAsia" w:ascii="楷体" w:hAnsi="楷体" w:eastAsia="楷体" w:cs="楷体"/>
                <w:bCs/>
                <w:color w:val="000000" w:themeColor="text1"/>
                <w:sz w:val="20"/>
                <w:szCs w:val="20"/>
                <w:highlight w:val="none"/>
                <w:lang w:val="en-US" w:eastAsia="zh-CN"/>
                <w14:textFill>
                  <w14:solidFill>
                    <w14:schemeClr w14:val="tx1"/>
                  </w14:solidFill>
                </w14:textFill>
              </w:rPr>
              <w:t>G份额：1元；</w:t>
            </w:r>
            <w:r>
              <w:rPr>
                <w:rFonts w:hint="eastAsia" w:ascii="楷体" w:hAnsi="楷体" w:eastAsia="楷体" w:cs="楷体"/>
                <w:bCs/>
                <w:color w:val="000000" w:themeColor="text1"/>
                <w:sz w:val="20"/>
                <w:szCs w:val="20"/>
                <w:highlight w:val="none"/>
                <w:lang w:val="en-US" w:eastAsia="zh-CN"/>
                <w14:textFill>
                  <w14:solidFill>
                    <w14:schemeClr w14:val="tx1"/>
                  </w14:solidFill>
                </w14:textFill>
              </w:rPr>
              <w:br w:type="textWrapping"/>
            </w:r>
            <w:r>
              <w:rPr>
                <w:rFonts w:hint="eastAsia" w:ascii="楷体" w:hAnsi="楷体" w:eastAsia="楷体" w:cs="楷体"/>
                <w:bCs/>
                <w:color w:val="000000" w:themeColor="text1"/>
                <w:sz w:val="20"/>
                <w:szCs w:val="20"/>
                <w:highlight w:val="none"/>
                <w:lang w:val="en-US" w:eastAsia="zh-CN"/>
                <w14:textFill>
                  <w14:solidFill>
                    <w14:schemeClr w14:val="tx1"/>
                  </w14:solidFill>
                </w14:textFill>
              </w:rPr>
              <w:t>I份额：1元；</w:t>
            </w:r>
            <w:r>
              <w:rPr>
                <w:rFonts w:hint="eastAsia" w:ascii="楷体" w:hAnsi="楷体" w:eastAsia="楷体" w:cs="楷体"/>
                <w:bCs/>
                <w:color w:val="000000" w:themeColor="text1"/>
                <w:sz w:val="20"/>
                <w:szCs w:val="20"/>
                <w:highlight w:val="none"/>
                <w:lang w:val="en-US" w:eastAsia="zh-CN"/>
                <w14:textFill>
                  <w14:solidFill>
                    <w14:schemeClr w14:val="tx1"/>
                  </w14:solidFill>
                </w14:textFill>
              </w:rPr>
              <w:br w:type="textWrapping"/>
            </w:r>
            <w:r>
              <w:rPr>
                <w:rFonts w:hint="eastAsia" w:ascii="楷体" w:hAnsi="楷体" w:eastAsia="楷体" w:cs="楷体"/>
                <w:bCs/>
                <w:color w:val="000000" w:themeColor="text1"/>
                <w:sz w:val="20"/>
                <w:szCs w:val="20"/>
                <w:highlight w:val="none"/>
                <w:lang w:val="en-US" w:eastAsia="zh-CN"/>
                <w14:textFill>
                  <w14:solidFill>
                    <w14:schemeClr w14:val="tx1"/>
                  </w14:solidFill>
                </w14:textFill>
              </w:rPr>
              <w:t>M份额：1元；</w:t>
            </w:r>
            <w:r>
              <w:rPr>
                <w:rFonts w:hint="eastAsia" w:ascii="楷体" w:hAnsi="楷体" w:eastAsia="楷体" w:cs="楷体"/>
                <w:bCs/>
                <w:color w:val="000000" w:themeColor="text1"/>
                <w:sz w:val="20"/>
                <w:szCs w:val="20"/>
                <w:highlight w:val="none"/>
                <w:lang w:val="en-US" w:eastAsia="zh-CN"/>
                <w14:textFill>
                  <w14:solidFill>
                    <w14:schemeClr w14:val="tx1"/>
                  </w14:solidFill>
                </w14:textFill>
              </w:rPr>
              <w:br w:type="textWrapping"/>
            </w:r>
            <w:r>
              <w:rPr>
                <w:rFonts w:hint="eastAsia" w:ascii="楷体" w:hAnsi="楷体" w:eastAsia="楷体" w:cs="楷体"/>
                <w:bCs/>
                <w:color w:val="000000" w:themeColor="text1"/>
                <w:sz w:val="20"/>
                <w:szCs w:val="20"/>
                <w:highlight w:val="none"/>
                <w:lang w:val="en-US" w:eastAsia="zh-CN"/>
                <w14:textFill>
                  <w14:solidFill>
                    <w14:schemeClr w14:val="tx1"/>
                  </w14:solidFill>
                </w14:textFill>
              </w:rPr>
              <w:t>O份额：1元；</w:t>
            </w:r>
            <w:r>
              <w:rPr>
                <w:rFonts w:hint="eastAsia" w:ascii="楷体" w:hAnsi="楷体" w:eastAsia="楷体" w:cs="楷体"/>
                <w:bCs/>
                <w:color w:val="000000" w:themeColor="text1"/>
                <w:sz w:val="20"/>
                <w:szCs w:val="20"/>
                <w:highlight w:val="none"/>
                <w:lang w:val="en-US" w:eastAsia="zh-CN"/>
                <w14:textFill>
                  <w14:solidFill>
                    <w14:schemeClr w14:val="tx1"/>
                  </w14:solidFill>
                </w14:textFill>
              </w:rPr>
              <w:br w:type="textWrapping"/>
            </w:r>
            <w:r>
              <w:rPr>
                <w:rFonts w:hint="eastAsia" w:ascii="楷体" w:hAnsi="楷体" w:eastAsia="楷体" w:cs="楷体"/>
                <w:bCs/>
                <w:color w:val="000000" w:themeColor="text1"/>
                <w:sz w:val="20"/>
                <w:szCs w:val="20"/>
                <w:highlight w:val="none"/>
                <w:lang w:val="en-US" w:eastAsia="zh-CN"/>
                <w14:textFill>
                  <w14:solidFill>
                    <w14:schemeClr w14:val="tx1"/>
                  </w14:solidFill>
                </w14:textFill>
              </w:rPr>
              <w:t>Z份额：1元。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178" w:type="dxa"/>
            <w:noWrap w:val="0"/>
            <w:vAlign w:val="center"/>
          </w:tcPr>
          <w:p>
            <w:pPr>
              <w:keepNext w:val="0"/>
              <w:keepLines w:val="0"/>
              <w:pageBreakBefore w:val="0"/>
              <w:widowControl/>
              <w:bidi w:val="0"/>
              <w:spacing w:line="240" w:lineRule="auto"/>
              <w:jc w:val="center"/>
              <w:rPr>
                <w:rFonts w:hint="eastAsia" w:ascii="楷体" w:hAnsi="楷体" w:eastAsia="楷体" w:cs="楷体"/>
                <w:b/>
                <w:bCs/>
                <w:color w:val="000000" w:themeColor="text1"/>
                <w:sz w:val="20"/>
                <w:szCs w:val="20"/>
                <w:highlight w:val="none"/>
                <w14:textFill>
                  <w14:solidFill>
                    <w14:schemeClr w14:val="tx1"/>
                  </w14:solidFill>
                </w14:textFill>
              </w:rPr>
            </w:pPr>
            <w:r>
              <w:rPr>
                <w:rFonts w:hint="eastAsia" w:ascii="楷体" w:hAnsi="楷体" w:eastAsia="楷体" w:cs="楷体"/>
                <w:b/>
                <w:bCs/>
                <w:color w:val="000000" w:themeColor="text1"/>
                <w:sz w:val="20"/>
                <w:szCs w:val="20"/>
                <w:highlight w:val="none"/>
                <w14:textFill>
                  <w14:solidFill>
                    <w14:schemeClr w14:val="tx1"/>
                  </w14:solidFill>
                </w14:textFill>
              </w:rPr>
              <w:t>计划募集金额</w:t>
            </w:r>
          </w:p>
        </w:tc>
        <w:tc>
          <w:tcPr>
            <w:tcW w:w="7478" w:type="dxa"/>
            <w:noWrap w:val="0"/>
            <w:vAlign w:val="center"/>
          </w:tcPr>
          <w:p>
            <w:pPr>
              <w:keepNext w:val="0"/>
              <w:keepLines w:val="0"/>
              <w:pageBreakBefore w:val="0"/>
              <w:widowControl/>
              <w:bidi w:val="0"/>
              <w:spacing w:line="240" w:lineRule="auto"/>
              <w:jc w:val="both"/>
              <w:rPr>
                <w:rFonts w:hint="default" w:ascii="楷体" w:hAnsi="楷体" w:eastAsia="楷体" w:cs="楷体"/>
                <w:bCs/>
                <w:color w:val="000000" w:themeColor="text1"/>
                <w:sz w:val="20"/>
                <w:szCs w:val="20"/>
                <w:highlight w:val="none"/>
                <w:lang w:val="en-US" w:eastAsia="zh-CN"/>
                <w14:textFill>
                  <w14:solidFill>
                    <w14:schemeClr w14:val="tx1"/>
                  </w14:solidFill>
                </w14:textFill>
              </w:rPr>
            </w:pPr>
            <w:r>
              <w:rPr>
                <w:rFonts w:hint="eastAsia" w:ascii="楷体" w:hAnsi="楷体" w:eastAsia="楷体" w:cs="楷体"/>
                <w:bCs/>
                <w:color w:val="000000" w:themeColor="text1"/>
                <w:sz w:val="20"/>
                <w:szCs w:val="20"/>
                <w:highlight w:val="none"/>
                <w:lang w:val="en-US" w:eastAsia="zh-CN"/>
                <w14:textFill>
                  <w14:solidFill>
                    <w14:schemeClr w14:val="tx1"/>
                  </w14:solidFill>
                </w14:textFill>
              </w:rPr>
              <w:t>20亿元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178" w:type="dxa"/>
            <w:noWrap w:val="0"/>
            <w:vAlign w:val="center"/>
          </w:tcPr>
          <w:p>
            <w:pPr>
              <w:keepNext w:val="0"/>
              <w:keepLines w:val="0"/>
              <w:pageBreakBefore w:val="0"/>
              <w:widowControl/>
              <w:bidi w:val="0"/>
              <w:spacing w:line="240" w:lineRule="auto"/>
              <w:jc w:val="center"/>
              <w:rPr>
                <w:rFonts w:hint="eastAsia" w:ascii="楷体" w:hAnsi="楷体" w:eastAsia="楷体" w:cs="楷体"/>
                <w:b/>
                <w:bCs/>
                <w:color w:val="000000" w:themeColor="text1"/>
                <w:sz w:val="20"/>
                <w:szCs w:val="20"/>
                <w:highlight w:val="none"/>
                <w14:textFill>
                  <w14:solidFill>
                    <w14:schemeClr w14:val="tx1"/>
                  </w14:solidFill>
                </w14:textFill>
              </w:rPr>
            </w:pPr>
            <w:r>
              <w:rPr>
                <w:rFonts w:hint="eastAsia" w:ascii="楷体" w:hAnsi="楷体" w:eastAsia="楷体" w:cs="楷体"/>
                <w:b/>
                <w:bCs/>
                <w:color w:val="000000" w:themeColor="text1"/>
                <w:sz w:val="20"/>
                <w:szCs w:val="20"/>
                <w:highlight w:val="none"/>
                <w14:textFill>
                  <w14:solidFill>
                    <w14:schemeClr w14:val="tx1"/>
                  </w14:solidFill>
                </w14:textFill>
              </w:rPr>
              <w:t>认购、申购、赎回安排</w:t>
            </w:r>
          </w:p>
        </w:tc>
        <w:tc>
          <w:tcPr>
            <w:tcW w:w="7478" w:type="dxa"/>
            <w:noWrap w:val="0"/>
            <w:vAlign w:val="center"/>
          </w:tcPr>
          <w:p>
            <w:pPr>
              <w:keepNext w:val="0"/>
              <w:keepLines w:val="0"/>
              <w:pageBreakBefore w:val="0"/>
              <w:widowControl/>
              <w:bidi w:val="0"/>
              <w:spacing w:line="240" w:lineRule="auto"/>
              <w:jc w:val="both"/>
              <w:rPr>
                <w:rFonts w:hint="default" w:ascii="楷体" w:hAnsi="楷体" w:eastAsia="楷体" w:cs="楷体"/>
                <w:b w:val="0"/>
                <w:bCs/>
                <w:color w:val="000000" w:themeColor="text1"/>
                <w:sz w:val="20"/>
                <w:szCs w:val="20"/>
                <w:highlight w:val="none"/>
                <w:lang w:val="en-US" w:eastAsia="zh-CN"/>
                <w14:textFill>
                  <w14:solidFill>
                    <w14:schemeClr w14:val="tx1"/>
                  </w14:solidFill>
                </w14:textFill>
              </w:rPr>
            </w:pPr>
            <w:r>
              <w:rPr>
                <w:rFonts w:hint="eastAsia" w:ascii="楷体" w:hAnsi="楷体" w:eastAsia="楷体" w:cs="楷体"/>
                <w:b w:val="0"/>
                <w:bCs/>
                <w:color w:val="000000" w:themeColor="text1"/>
                <w:sz w:val="20"/>
                <w:szCs w:val="20"/>
                <w:highlight w:val="none"/>
                <w:lang w:val="en-US" w:eastAsia="zh-CN"/>
                <w14:textFill>
                  <w14:solidFill>
                    <w14:schemeClr w14:val="tx1"/>
                  </w14:solidFill>
                </w14:textFill>
              </w:rPr>
              <w:t>1.</w:t>
            </w:r>
            <w:r>
              <w:rPr>
                <w:rFonts w:hint="default" w:ascii="楷体" w:hAnsi="楷体" w:eastAsia="楷体" w:cs="楷体"/>
                <w:b w:val="0"/>
                <w:bCs/>
                <w:color w:val="000000" w:themeColor="text1"/>
                <w:sz w:val="20"/>
                <w:szCs w:val="20"/>
                <w:highlight w:val="none"/>
                <w:lang w:val="en-US" w:eastAsia="zh-CN"/>
                <w14:textFill>
                  <w14:solidFill>
                    <w14:schemeClr w14:val="tx1"/>
                  </w14:solidFill>
                </w14:textFill>
              </w:rPr>
              <w:t>认购</w:t>
            </w:r>
            <w:r>
              <w:rPr>
                <w:rFonts w:hint="eastAsia" w:ascii="楷体" w:hAnsi="楷体" w:eastAsia="楷体" w:cs="楷体"/>
                <w:b w:val="0"/>
                <w:bCs/>
                <w:color w:val="000000" w:themeColor="text1"/>
                <w:sz w:val="20"/>
                <w:szCs w:val="20"/>
                <w:highlight w:val="none"/>
                <w:lang w:val="en-US" w:eastAsia="zh-CN"/>
                <w14:textFill>
                  <w14:solidFill>
                    <w14:schemeClr w14:val="tx1"/>
                  </w14:solidFill>
                </w14:textFill>
              </w:rPr>
              <w:t>安排</w:t>
            </w:r>
          </w:p>
          <w:p>
            <w:pPr>
              <w:keepNext w:val="0"/>
              <w:keepLines w:val="0"/>
              <w:pageBreakBefore w:val="0"/>
              <w:widowControl/>
              <w:bidi w:val="0"/>
              <w:spacing w:line="240" w:lineRule="auto"/>
              <w:jc w:val="both"/>
              <w:rPr>
                <w:rFonts w:hint="default" w:ascii="楷体" w:hAnsi="楷体" w:eastAsia="楷体" w:cs="楷体"/>
                <w:b w:val="0"/>
                <w:bCs/>
                <w:color w:val="000000" w:themeColor="text1"/>
                <w:sz w:val="20"/>
                <w:szCs w:val="20"/>
                <w:highlight w:val="none"/>
                <w:lang w:val="en-US" w:eastAsia="zh-CN"/>
                <w14:textFill>
                  <w14:solidFill>
                    <w14:schemeClr w14:val="tx1"/>
                  </w14:solidFill>
                </w14:textFill>
              </w:rPr>
            </w:pPr>
            <w:r>
              <w:rPr>
                <w:rFonts w:hint="eastAsia" w:ascii="楷体" w:hAnsi="楷体" w:eastAsia="楷体" w:cs="楷体"/>
                <w:b w:val="0"/>
                <w:bCs/>
                <w:color w:val="000000" w:themeColor="text1"/>
                <w:sz w:val="20"/>
                <w:szCs w:val="20"/>
                <w:highlight w:val="none"/>
                <w:lang w:val="en-US" w:eastAsia="zh-CN"/>
                <w14:textFill>
                  <w14:solidFill>
                    <w14:schemeClr w14:val="tx1"/>
                  </w14:solidFill>
                </w14:textFill>
              </w:rPr>
              <w:t>认购</w:t>
            </w:r>
            <w:r>
              <w:rPr>
                <w:rFonts w:hint="default" w:ascii="楷体" w:hAnsi="楷体" w:eastAsia="楷体" w:cs="楷体"/>
                <w:b w:val="0"/>
                <w:bCs/>
                <w:color w:val="000000" w:themeColor="text1"/>
                <w:sz w:val="20"/>
                <w:szCs w:val="20"/>
                <w:highlight w:val="none"/>
                <w:lang w:val="en-US" w:eastAsia="zh-CN"/>
                <w14:textFill>
                  <w14:solidFill>
                    <w14:schemeClr w14:val="tx1"/>
                  </w14:solidFill>
                </w14:textFill>
              </w:rPr>
              <w:t>指在理财产品的募集期内，投资者申请购买理财产品份额的行为</w:t>
            </w:r>
            <w:r>
              <w:rPr>
                <w:rFonts w:hint="eastAsia" w:ascii="楷体" w:hAnsi="楷体" w:eastAsia="楷体" w:cs="楷体"/>
                <w:b w:val="0"/>
                <w:bCs/>
                <w:color w:val="000000" w:themeColor="text1"/>
                <w:sz w:val="20"/>
                <w:szCs w:val="20"/>
                <w:highlight w:val="none"/>
                <w:lang w:val="en-US" w:eastAsia="zh-CN"/>
                <w14:textFill>
                  <w14:solidFill>
                    <w14:schemeClr w14:val="tx1"/>
                  </w14:solidFill>
                </w14:textFill>
              </w:rPr>
              <w:t>。</w:t>
            </w:r>
            <w:r>
              <w:rPr>
                <w:rFonts w:hint="default" w:ascii="楷体" w:hAnsi="楷体" w:eastAsia="楷体" w:cs="楷体"/>
                <w:b w:val="0"/>
                <w:bCs/>
                <w:color w:val="000000" w:themeColor="text1"/>
                <w:sz w:val="20"/>
                <w:szCs w:val="20"/>
                <w:highlight w:val="none"/>
                <w:lang w:val="en-US" w:eastAsia="zh-CN"/>
                <w14:textFill>
                  <w14:solidFill>
                    <w14:schemeClr w14:val="tx1"/>
                  </w14:solidFill>
                </w14:textFill>
              </w:rPr>
              <w:t>本理财产品可在各销售机构指定渠道进行认购，投资者按规定提交认购申请，管理人在份额登记日对投资者的认购申请成功登记后并收到投资者全额交付的款项，视为投资者的认购申请生效。投资者应在理财产品成立后及时查询最终的成交情况。因投资者资金账户余额不足、司法冻结、不可抗力因素或其他不可归责于管理人和销售机构的事由出现，造成认购申请未被确认的，管理人和销售机构不承担任何责任。</w:t>
            </w:r>
          </w:p>
          <w:p>
            <w:pPr>
              <w:keepNext w:val="0"/>
              <w:keepLines w:val="0"/>
              <w:pageBreakBefore w:val="0"/>
              <w:widowControl/>
              <w:bidi w:val="0"/>
              <w:spacing w:line="240" w:lineRule="auto"/>
              <w:jc w:val="both"/>
              <w:rPr>
                <w:rFonts w:hint="default" w:ascii="楷体" w:hAnsi="楷体" w:eastAsia="楷体" w:cs="楷体"/>
                <w:b w:val="0"/>
                <w:bCs/>
                <w:color w:val="000000" w:themeColor="text1"/>
                <w:sz w:val="20"/>
                <w:szCs w:val="20"/>
                <w:highlight w:val="none"/>
                <w:lang w:val="en-US" w:eastAsia="zh-CN"/>
                <w14:textFill>
                  <w14:solidFill>
                    <w14:schemeClr w14:val="tx1"/>
                  </w14:solidFill>
                </w14:textFill>
              </w:rPr>
            </w:pPr>
            <w:r>
              <w:rPr>
                <w:rFonts w:hint="default" w:ascii="楷体" w:hAnsi="楷体" w:eastAsia="楷体" w:cs="楷体"/>
                <w:b w:val="0"/>
                <w:bCs/>
                <w:color w:val="000000" w:themeColor="text1"/>
                <w:sz w:val="20"/>
                <w:szCs w:val="20"/>
                <w:highlight w:val="none"/>
                <w:lang w:val="en-US" w:eastAsia="zh-CN"/>
                <w14:textFill>
                  <w14:solidFill>
                    <w14:schemeClr w14:val="tx1"/>
                  </w14:solidFill>
                </w14:textFill>
              </w:rPr>
              <w:t>本理财产品采取金额</w:t>
            </w:r>
            <w:r>
              <w:rPr>
                <w:rFonts w:hint="eastAsia" w:ascii="楷体" w:hAnsi="楷体" w:eastAsia="楷体" w:cs="楷体"/>
                <w:b w:val="0"/>
                <w:bCs/>
                <w:color w:val="000000" w:themeColor="text1"/>
                <w:sz w:val="20"/>
                <w:szCs w:val="20"/>
                <w:highlight w:val="none"/>
                <w:lang w:val="en-US" w:eastAsia="zh-CN"/>
                <w14:textFill>
                  <w14:solidFill>
                    <w14:schemeClr w14:val="tx1"/>
                  </w14:solidFill>
                </w14:textFill>
              </w:rPr>
              <w:t>认购的</w:t>
            </w:r>
            <w:r>
              <w:rPr>
                <w:rFonts w:hint="default" w:ascii="楷体" w:hAnsi="楷体" w:eastAsia="楷体" w:cs="楷体"/>
                <w:b w:val="0"/>
                <w:bCs/>
                <w:color w:val="000000" w:themeColor="text1"/>
                <w:sz w:val="20"/>
                <w:szCs w:val="20"/>
                <w:highlight w:val="none"/>
                <w:lang w:val="en-US" w:eastAsia="zh-CN"/>
                <w14:textFill>
                  <w14:solidFill>
                    <w14:schemeClr w14:val="tx1"/>
                  </w14:solidFill>
                </w14:textFill>
              </w:rPr>
              <w:t>方式</w:t>
            </w:r>
            <w:r>
              <w:rPr>
                <w:rFonts w:hint="eastAsia" w:ascii="楷体" w:hAnsi="楷体" w:eastAsia="楷体" w:cs="楷体"/>
                <w:b w:val="0"/>
                <w:bCs/>
                <w:color w:val="000000" w:themeColor="text1"/>
                <w:sz w:val="20"/>
                <w:szCs w:val="20"/>
                <w:highlight w:val="none"/>
                <w:lang w:val="en-US" w:eastAsia="zh-CN"/>
                <w14:textFill>
                  <w14:solidFill>
                    <w14:schemeClr w14:val="tx1"/>
                  </w14:solidFill>
                </w14:textFill>
              </w:rPr>
              <w:t>，认购时以产品份额面值为基准进行份额确认</w:t>
            </w:r>
            <w:r>
              <w:rPr>
                <w:rFonts w:hint="default" w:ascii="楷体" w:hAnsi="楷体" w:eastAsia="楷体" w:cs="楷体"/>
                <w:b w:val="0"/>
                <w:bCs/>
                <w:color w:val="000000" w:themeColor="text1"/>
                <w:sz w:val="20"/>
                <w:szCs w:val="20"/>
                <w:highlight w:val="none"/>
                <w:lang w:val="en-US" w:eastAsia="zh-CN"/>
                <w14:textFill>
                  <w14:solidFill>
                    <w14:schemeClr w14:val="tx1"/>
                  </w14:solidFill>
                </w14:textFill>
              </w:rPr>
              <w:t>。认购份额=认购金额/产品份额面值，认购份额以四舍五入的方法保留到小数点后两位，份额面值为1元/份。</w:t>
            </w:r>
          </w:p>
          <w:p>
            <w:pPr>
              <w:keepNext w:val="0"/>
              <w:keepLines w:val="0"/>
              <w:pageBreakBefore w:val="0"/>
              <w:widowControl/>
              <w:bidi w:val="0"/>
              <w:spacing w:line="240" w:lineRule="auto"/>
              <w:jc w:val="both"/>
              <w:rPr>
                <w:rFonts w:hint="eastAsia" w:ascii="楷体" w:hAnsi="楷体" w:eastAsia="楷体" w:cs="楷体"/>
                <w:b w:val="0"/>
                <w:bCs/>
                <w:color w:val="000000" w:themeColor="text1"/>
                <w:sz w:val="20"/>
                <w:szCs w:val="20"/>
                <w:highlight w:val="none"/>
                <w:lang w:val="en-US" w:eastAsia="zh-CN"/>
                <w14:textFill>
                  <w14:solidFill>
                    <w14:schemeClr w14:val="tx1"/>
                  </w14:solidFill>
                </w14:textFill>
              </w:rPr>
            </w:pPr>
            <w:r>
              <w:rPr>
                <w:rFonts w:hint="eastAsia" w:ascii="楷体" w:hAnsi="楷体" w:eastAsia="楷体" w:cs="楷体"/>
                <w:b w:val="0"/>
                <w:bCs/>
                <w:color w:val="000000" w:themeColor="text1"/>
                <w:sz w:val="20"/>
                <w:szCs w:val="20"/>
                <w:highlight w:val="none"/>
                <w:lang w:val="en-US" w:eastAsia="zh-CN"/>
                <w14:textFill>
                  <w14:solidFill>
                    <w14:schemeClr w14:val="tx1"/>
                  </w14:solidFill>
                </w14:textFill>
              </w:rPr>
              <w:t>本产品最低发行规模：3000万元</w:t>
            </w:r>
          </w:p>
          <w:p>
            <w:pPr>
              <w:keepNext w:val="0"/>
              <w:keepLines w:val="0"/>
              <w:pageBreakBefore w:val="0"/>
              <w:widowControl/>
              <w:bidi w:val="0"/>
              <w:spacing w:line="240" w:lineRule="auto"/>
              <w:jc w:val="both"/>
              <w:rPr>
                <w:rFonts w:hint="default"/>
                <w:sz w:val="20"/>
                <w:szCs w:val="20"/>
                <w:highlight w:val="none"/>
                <w:lang w:val="en-US" w:eastAsia="zh-CN"/>
              </w:rPr>
            </w:pPr>
          </w:p>
          <w:p>
            <w:pPr>
              <w:keepNext w:val="0"/>
              <w:keepLines w:val="0"/>
              <w:pageBreakBefore w:val="0"/>
              <w:widowControl/>
              <w:bidi w:val="0"/>
              <w:spacing w:line="240" w:lineRule="auto"/>
              <w:jc w:val="both"/>
              <w:rPr>
                <w:rFonts w:hint="default" w:ascii="楷体" w:hAnsi="楷体" w:eastAsia="楷体" w:cs="楷体"/>
                <w:b w:val="0"/>
                <w:bCs/>
                <w:color w:val="000000" w:themeColor="text1"/>
                <w:sz w:val="20"/>
                <w:szCs w:val="20"/>
                <w:highlight w:val="none"/>
                <w:lang w:val="en-US" w:eastAsia="zh-CN"/>
                <w14:textFill>
                  <w14:solidFill>
                    <w14:schemeClr w14:val="tx1"/>
                  </w14:solidFill>
                </w14:textFill>
              </w:rPr>
            </w:pPr>
            <w:r>
              <w:rPr>
                <w:rFonts w:hint="eastAsia" w:ascii="楷体" w:hAnsi="楷体" w:eastAsia="楷体" w:cs="楷体"/>
                <w:b w:val="0"/>
                <w:bCs/>
                <w:color w:val="000000" w:themeColor="text1"/>
                <w:sz w:val="20"/>
                <w:szCs w:val="20"/>
                <w:highlight w:val="none"/>
                <w:lang w:val="en-US" w:eastAsia="zh-CN"/>
                <w14:textFill>
                  <w14:solidFill>
                    <w14:schemeClr w14:val="tx1"/>
                  </w14:solidFill>
                </w14:textFill>
              </w:rPr>
              <w:t>2.</w:t>
            </w:r>
            <w:r>
              <w:rPr>
                <w:rFonts w:hint="default" w:ascii="楷体" w:hAnsi="楷体" w:eastAsia="楷体" w:cs="楷体"/>
                <w:b w:val="0"/>
                <w:bCs/>
                <w:color w:val="000000" w:themeColor="text1"/>
                <w:sz w:val="20"/>
                <w:szCs w:val="20"/>
                <w:highlight w:val="none"/>
                <w:lang w:val="en-US" w:eastAsia="zh-CN"/>
                <w14:textFill>
                  <w14:solidFill>
                    <w14:schemeClr w14:val="tx1"/>
                  </w14:solidFill>
                </w14:textFill>
              </w:rPr>
              <w:t>申购</w:t>
            </w:r>
            <w:r>
              <w:rPr>
                <w:rFonts w:hint="eastAsia" w:ascii="楷体" w:hAnsi="楷体" w:eastAsia="楷体" w:cs="楷体"/>
                <w:b w:val="0"/>
                <w:bCs/>
                <w:color w:val="000000" w:themeColor="text1"/>
                <w:sz w:val="20"/>
                <w:szCs w:val="20"/>
                <w:highlight w:val="none"/>
                <w:lang w:val="en-US" w:eastAsia="zh-CN"/>
                <w14:textFill>
                  <w14:solidFill>
                    <w14:schemeClr w14:val="tx1"/>
                  </w14:solidFill>
                </w14:textFill>
              </w:rPr>
              <w:t>、</w:t>
            </w:r>
            <w:r>
              <w:rPr>
                <w:rFonts w:hint="default" w:ascii="楷体" w:hAnsi="楷体" w:eastAsia="楷体" w:cs="楷体"/>
                <w:b w:val="0"/>
                <w:bCs/>
                <w:color w:val="000000" w:themeColor="text1"/>
                <w:sz w:val="20"/>
                <w:szCs w:val="20"/>
                <w:highlight w:val="none"/>
                <w:lang w:val="en-US" w:eastAsia="zh-CN"/>
                <w14:textFill>
                  <w14:solidFill>
                    <w14:schemeClr w14:val="tx1"/>
                  </w14:solidFill>
                </w14:textFill>
              </w:rPr>
              <w:t>赎回</w:t>
            </w:r>
            <w:r>
              <w:rPr>
                <w:rFonts w:hint="eastAsia" w:ascii="楷体" w:hAnsi="楷体" w:eastAsia="楷体" w:cs="楷体"/>
                <w:b w:val="0"/>
                <w:bCs/>
                <w:color w:val="000000" w:themeColor="text1"/>
                <w:sz w:val="20"/>
                <w:szCs w:val="20"/>
                <w:highlight w:val="none"/>
                <w:lang w:val="en-US" w:eastAsia="zh-CN"/>
                <w14:textFill>
                  <w14:solidFill>
                    <w14:schemeClr w14:val="tx1"/>
                  </w14:solidFill>
                </w14:textFill>
              </w:rPr>
              <w:t>安排</w:t>
            </w:r>
          </w:p>
          <w:p>
            <w:pPr>
              <w:keepNext w:val="0"/>
              <w:keepLines w:val="0"/>
              <w:pageBreakBefore w:val="0"/>
              <w:widowControl/>
              <w:bidi w:val="0"/>
              <w:spacing w:line="240" w:lineRule="auto"/>
              <w:jc w:val="both"/>
              <w:rPr>
                <w:rFonts w:hint="default" w:ascii="楷体" w:hAnsi="楷体" w:eastAsia="楷体" w:cs="楷体"/>
                <w:b w:val="0"/>
                <w:bCs/>
                <w:color w:val="000000" w:themeColor="text1"/>
                <w:sz w:val="20"/>
                <w:szCs w:val="20"/>
                <w:highlight w:val="none"/>
                <w:lang w:val="en-US" w:eastAsia="zh-CN"/>
                <w14:textFill>
                  <w14:solidFill>
                    <w14:schemeClr w14:val="tx1"/>
                  </w14:solidFill>
                </w14:textFill>
              </w:rPr>
            </w:pPr>
            <w:r>
              <w:rPr>
                <w:rFonts w:hint="default" w:ascii="楷体" w:hAnsi="楷体" w:eastAsia="楷体" w:cs="楷体"/>
                <w:b w:val="0"/>
                <w:bCs/>
                <w:color w:val="000000" w:themeColor="text1"/>
                <w:sz w:val="20"/>
                <w:szCs w:val="20"/>
                <w:highlight w:val="none"/>
                <w:lang w:val="en-US" w:eastAsia="zh-CN"/>
                <w14:textFill>
                  <w14:solidFill>
                    <w14:schemeClr w14:val="tx1"/>
                  </w14:solidFill>
                </w14:textFill>
              </w:rPr>
              <w:t>申购/赎回指在理财产品的开放期内，投资者申请购买或卖出理财产品份额的行为</w:t>
            </w:r>
            <w:r>
              <w:rPr>
                <w:rFonts w:hint="eastAsia" w:ascii="楷体" w:hAnsi="楷体" w:eastAsia="楷体" w:cs="楷体"/>
                <w:b w:val="0"/>
                <w:bCs/>
                <w:color w:val="000000" w:themeColor="text1"/>
                <w:sz w:val="20"/>
                <w:szCs w:val="20"/>
                <w:highlight w:val="none"/>
                <w:lang w:val="en-US" w:eastAsia="zh-CN"/>
                <w14:textFill>
                  <w14:solidFill>
                    <w14:schemeClr w14:val="tx1"/>
                  </w14:solidFill>
                </w14:textFill>
              </w:rPr>
              <w:t>。</w:t>
            </w:r>
            <w:r>
              <w:rPr>
                <w:rFonts w:hint="default" w:ascii="楷体" w:hAnsi="楷体" w:eastAsia="楷体" w:cs="楷体"/>
                <w:b/>
                <w:bCs w:val="0"/>
                <w:color w:val="000000" w:themeColor="text1"/>
                <w:sz w:val="20"/>
                <w:szCs w:val="20"/>
                <w:highlight w:val="none"/>
                <w:u w:val="single"/>
                <w:lang w:val="en-US" w:eastAsia="zh-CN"/>
                <w14:textFill>
                  <w14:solidFill>
                    <w14:schemeClr w14:val="tx1"/>
                  </w14:solidFill>
                </w14:textFill>
              </w:rPr>
              <w:t>本理财产品在存续期内不开放申购和赎回，本产品说明书</w:t>
            </w:r>
            <w:r>
              <w:rPr>
                <w:rFonts w:hint="eastAsia" w:ascii="楷体" w:hAnsi="楷体" w:eastAsia="楷体" w:cs="楷体"/>
                <w:b/>
                <w:bCs w:val="0"/>
                <w:color w:val="000000" w:themeColor="text1"/>
                <w:sz w:val="20"/>
                <w:szCs w:val="20"/>
                <w:highlight w:val="none"/>
                <w:u w:val="single"/>
                <w:lang w:val="en-US" w:eastAsia="zh-CN"/>
                <w14:textFill>
                  <w14:solidFill>
                    <w14:schemeClr w14:val="tx1"/>
                  </w14:solidFill>
                </w14:textFill>
              </w:rPr>
              <w:t>约定的</w:t>
            </w:r>
            <w:r>
              <w:rPr>
                <w:rFonts w:hint="default" w:ascii="楷体" w:hAnsi="楷体" w:eastAsia="楷体" w:cs="楷体"/>
                <w:b/>
                <w:bCs w:val="0"/>
                <w:color w:val="000000" w:themeColor="text1"/>
                <w:sz w:val="20"/>
                <w:szCs w:val="20"/>
                <w:highlight w:val="none"/>
                <w:u w:val="single"/>
                <w:lang w:val="en-US" w:eastAsia="zh-CN"/>
                <w14:textFill>
                  <w14:solidFill>
                    <w14:schemeClr w14:val="tx1"/>
                  </w14:solidFill>
                </w14:textFill>
              </w:rPr>
              <w:t>特定情形除外。</w:t>
            </w:r>
          </w:p>
          <w:p>
            <w:pPr>
              <w:keepNext w:val="0"/>
              <w:keepLines w:val="0"/>
              <w:pageBreakBefore w:val="0"/>
              <w:widowControl/>
              <w:bidi w:val="0"/>
              <w:spacing w:line="240" w:lineRule="auto"/>
              <w:jc w:val="both"/>
              <w:rPr>
                <w:rFonts w:hint="default"/>
                <w:sz w:val="20"/>
                <w:szCs w:val="20"/>
                <w:highlight w:val="none"/>
                <w:lang w:val="en-US" w:eastAsia="zh-CN"/>
              </w:rPr>
            </w:pPr>
          </w:p>
          <w:p>
            <w:pPr>
              <w:keepNext w:val="0"/>
              <w:keepLines w:val="0"/>
              <w:pageBreakBefore w:val="0"/>
              <w:widowControl/>
              <w:bidi w:val="0"/>
              <w:spacing w:line="240" w:lineRule="auto"/>
              <w:jc w:val="both"/>
              <w:rPr>
                <w:rFonts w:hint="default" w:ascii="楷体" w:hAnsi="楷体" w:eastAsia="楷体" w:cs="楷体"/>
                <w:b w:val="0"/>
                <w:bCs/>
                <w:color w:val="000000" w:themeColor="text1"/>
                <w:sz w:val="20"/>
                <w:szCs w:val="20"/>
                <w:highlight w:val="none"/>
                <w:lang w:val="en-US" w:eastAsia="zh-CN"/>
                <w14:textFill>
                  <w14:solidFill>
                    <w14:schemeClr w14:val="tx1"/>
                  </w14:solidFill>
                </w14:textFill>
              </w:rPr>
            </w:pPr>
          </w:p>
          <w:p>
            <w:pPr>
              <w:keepNext w:val="0"/>
              <w:keepLines w:val="0"/>
              <w:pageBreakBefore w:val="0"/>
              <w:widowControl/>
              <w:numPr>
                <w:ilvl w:val="0"/>
                <w:numId w:val="0"/>
              </w:numPr>
              <w:bidi w:val="0"/>
              <w:spacing w:line="240" w:lineRule="auto"/>
              <w:jc w:val="both"/>
              <w:rPr>
                <w:rFonts w:hint="default" w:ascii="楷体" w:hAnsi="楷体" w:eastAsia="楷体" w:cs="楷体"/>
                <w:b w:val="0"/>
                <w:bCs/>
                <w:color w:val="000000" w:themeColor="text1"/>
                <w:sz w:val="20"/>
                <w:szCs w:val="20"/>
                <w:highlight w:val="none"/>
                <w:lang w:val="en-US"/>
                <w14:textFill>
                  <w14:solidFill>
                    <w14:schemeClr w14:val="tx1"/>
                  </w14:solidFill>
                </w14:textFill>
              </w:rPr>
            </w:pPr>
            <w:r>
              <w:rPr>
                <w:rFonts w:hint="default" w:ascii="楷体" w:hAnsi="楷体" w:eastAsia="楷体" w:cs="楷体"/>
                <w:b w:val="0"/>
                <w:bCs/>
                <w:color w:val="000000" w:themeColor="text1"/>
                <w:sz w:val="20"/>
                <w:szCs w:val="20"/>
                <w:highlight w:val="none"/>
                <w:lang w:val="en-US"/>
                <w14:textFill>
                  <w14:solidFill>
                    <w14:schemeClr w14:val="tx1"/>
                  </w14:solidFill>
                </w14:textFill>
              </w:rPr>
              <w:t>3.其他约定</w:t>
            </w:r>
          </w:p>
          <w:p>
            <w:pPr>
              <w:keepNext w:val="0"/>
              <w:keepLines w:val="0"/>
              <w:pageBreakBefore w:val="0"/>
              <w:widowControl/>
              <w:numPr>
                <w:ilvl w:val="0"/>
                <w:numId w:val="0"/>
              </w:numPr>
              <w:bidi w:val="0"/>
              <w:spacing w:line="240" w:lineRule="auto"/>
              <w:jc w:val="both"/>
              <w:rPr>
                <w:rFonts w:hint="default" w:ascii="楷体" w:hAnsi="楷体" w:eastAsia="楷体" w:cs="楷体"/>
                <w:b w:val="0"/>
                <w:bCs/>
                <w:color w:val="000000" w:themeColor="text1"/>
                <w:sz w:val="20"/>
                <w:szCs w:val="20"/>
                <w:highlight w:val="none"/>
                <w:lang w:val="en-US"/>
                <w14:textFill>
                  <w14:solidFill>
                    <w14:schemeClr w14:val="tx1"/>
                  </w14:solidFill>
                </w14:textFill>
              </w:rPr>
            </w:pPr>
            <w:r>
              <w:rPr>
                <w:rFonts w:hint="default" w:ascii="楷体" w:hAnsi="楷体" w:eastAsia="楷体" w:cs="楷体"/>
                <w:b w:val="0"/>
                <w:bCs/>
                <w:color w:val="000000" w:themeColor="text1"/>
                <w:sz w:val="20"/>
                <w:szCs w:val="20"/>
                <w:highlight w:val="none"/>
                <w:lang w:val="en-US"/>
                <w14:textFill>
                  <w14:solidFill>
                    <w14:schemeClr w14:val="tx1"/>
                  </w14:solidFill>
                </w14:textFill>
              </w:rPr>
              <w:t>（1）单个投资者持有</w:t>
            </w:r>
            <w:r>
              <w:rPr>
                <w:rFonts w:hint="eastAsia" w:ascii="楷体" w:hAnsi="楷体" w:eastAsia="楷体" w:cs="楷体"/>
                <w:b w:val="0"/>
                <w:bCs/>
                <w:color w:val="000000" w:themeColor="text1"/>
                <w:sz w:val="20"/>
                <w:szCs w:val="20"/>
                <w:highlight w:val="none"/>
                <w:lang w:val="en-US" w:eastAsia="zh-CN"/>
                <w14:textFill>
                  <w14:solidFill>
                    <w14:schemeClr w14:val="tx1"/>
                  </w14:solidFill>
                </w14:textFill>
              </w:rPr>
              <w:t>份额</w:t>
            </w:r>
            <w:r>
              <w:rPr>
                <w:rFonts w:hint="default" w:ascii="楷体" w:hAnsi="楷体" w:eastAsia="楷体" w:cs="楷体"/>
                <w:b w:val="0"/>
                <w:bCs/>
                <w:color w:val="000000" w:themeColor="text1"/>
                <w:sz w:val="20"/>
                <w:szCs w:val="20"/>
                <w:highlight w:val="none"/>
                <w:lang w:val="en-US"/>
                <w14:textFill>
                  <w14:solidFill>
                    <w14:schemeClr w14:val="tx1"/>
                  </w14:solidFill>
                </w14:textFill>
              </w:rPr>
              <w:t>上限：单一投资者持有份额不得超过总份额50%；非因主观因素导致突破前款规定比例限制的，在单一投资者持有份额占理财产品总份额比例降至50%以下之前，不再接受该单一投资者对理财产品的购买申请。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178" w:type="dxa"/>
            <w:noWrap w:val="0"/>
            <w:vAlign w:val="center"/>
          </w:tcPr>
          <w:p>
            <w:pPr>
              <w:keepNext w:val="0"/>
              <w:keepLines w:val="0"/>
              <w:pageBreakBefore w:val="0"/>
              <w:widowControl/>
              <w:bidi w:val="0"/>
              <w:spacing w:line="240" w:lineRule="auto"/>
              <w:jc w:val="center"/>
              <w:rPr>
                <w:rFonts w:hint="eastAsia" w:ascii="楷体" w:hAnsi="楷体" w:eastAsia="楷体" w:cs="楷体"/>
                <w:b/>
                <w:bCs/>
                <w:color w:val="000000" w:themeColor="text1"/>
                <w:sz w:val="20"/>
                <w:szCs w:val="20"/>
                <w:highlight w:val="none"/>
                <w14:textFill>
                  <w14:solidFill>
                    <w14:schemeClr w14:val="tx1"/>
                  </w14:solidFill>
                </w14:textFill>
              </w:rPr>
            </w:pPr>
            <w:r>
              <w:rPr>
                <w:rFonts w:hint="eastAsia" w:ascii="楷体" w:hAnsi="楷体" w:eastAsia="楷体" w:cs="楷体"/>
                <w:b/>
                <w:bCs/>
                <w:color w:val="000000" w:themeColor="text1"/>
                <w:sz w:val="20"/>
                <w:szCs w:val="20"/>
                <w:highlight w:val="none"/>
                <w14:textFill>
                  <w14:solidFill>
                    <w14:schemeClr w14:val="tx1"/>
                  </w14:solidFill>
                </w14:textFill>
              </w:rPr>
              <w:t>巨额赎回</w:t>
            </w:r>
          </w:p>
        </w:tc>
        <w:tc>
          <w:tcPr>
            <w:tcW w:w="7478" w:type="dxa"/>
            <w:noWrap w:val="0"/>
            <w:vAlign w:val="center"/>
          </w:tcPr>
          <w:p>
            <w:pPr>
              <w:keepNext w:val="0"/>
              <w:keepLines w:val="0"/>
              <w:pageBreakBefore w:val="0"/>
              <w:widowControl/>
              <w:bidi w:val="0"/>
              <w:spacing w:line="240" w:lineRule="auto"/>
              <w:jc w:val="both"/>
              <w:rPr>
                <w:rFonts w:hint="eastAsia" w:ascii="楷体" w:hAnsi="楷体" w:eastAsia="楷体" w:cs="楷体"/>
                <w:bCs/>
                <w:color w:val="000000" w:themeColor="text1"/>
                <w:sz w:val="20"/>
                <w:szCs w:val="20"/>
                <w:highlight w:val="none"/>
                <w:lang w:eastAsia="zh-CN"/>
                <w14:textFill>
                  <w14:solidFill>
                    <w14:schemeClr w14:val="tx1"/>
                  </w14:solidFill>
                </w14:textFill>
              </w:rPr>
            </w:pPr>
            <w:r>
              <w:rPr>
                <w:rFonts w:hint="eastAsia" w:ascii="楷体" w:hAnsi="楷体" w:eastAsia="楷体" w:cs="楷体"/>
                <w:bCs/>
                <w:color w:val="000000" w:themeColor="text1"/>
                <w:sz w:val="20"/>
                <w:szCs w:val="20"/>
                <w:highlight w:val="none"/>
                <w:lang w:val="en-US" w:eastAsia="zh-CN"/>
                <w14:textFill>
                  <w14:solidFill>
                    <w14:schemeClr w14:val="tx1"/>
                  </w14:solidFill>
                </w14:textFill>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178" w:type="dxa"/>
            <w:noWrap w:val="0"/>
            <w:vAlign w:val="center"/>
          </w:tcPr>
          <w:p>
            <w:pPr>
              <w:keepNext w:val="0"/>
              <w:keepLines w:val="0"/>
              <w:pageBreakBefore w:val="0"/>
              <w:widowControl/>
              <w:bidi w:val="0"/>
              <w:spacing w:line="240" w:lineRule="auto"/>
              <w:jc w:val="center"/>
              <w:rPr>
                <w:rFonts w:hint="eastAsia" w:ascii="楷体" w:hAnsi="楷体" w:eastAsia="楷体" w:cs="楷体"/>
                <w:b/>
                <w:bCs/>
                <w:color w:val="000000" w:themeColor="text1"/>
                <w:sz w:val="20"/>
                <w:szCs w:val="20"/>
                <w:highlight w:val="none"/>
                <w14:textFill>
                  <w14:solidFill>
                    <w14:schemeClr w14:val="tx1"/>
                  </w14:solidFill>
                </w14:textFill>
              </w:rPr>
            </w:pPr>
            <w:r>
              <w:rPr>
                <w:rFonts w:hint="eastAsia" w:ascii="楷体" w:hAnsi="楷体" w:eastAsia="楷体" w:cs="楷体"/>
                <w:b/>
                <w:bCs/>
                <w:color w:val="000000" w:themeColor="text1"/>
                <w:sz w:val="20"/>
                <w:szCs w:val="20"/>
                <w:highlight w:val="none"/>
                <w14:textFill>
                  <w14:solidFill>
                    <w14:schemeClr w14:val="tx1"/>
                  </w14:solidFill>
                </w14:textFill>
              </w:rPr>
              <w:t>收益分配方式</w:t>
            </w:r>
          </w:p>
        </w:tc>
        <w:tc>
          <w:tcPr>
            <w:tcW w:w="7478" w:type="dxa"/>
            <w:noWrap w:val="0"/>
            <w:vAlign w:val="center"/>
          </w:tcPr>
          <w:p>
            <w:pPr>
              <w:keepNext w:val="0"/>
              <w:keepLines w:val="0"/>
              <w:pageBreakBefore w:val="0"/>
              <w:widowControl/>
              <w:bidi w:val="0"/>
              <w:spacing w:line="240" w:lineRule="auto"/>
              <w:jc w:val="both"/>
              <w:rPr>
                <w:rFonts w:hint="eastAsia" w:ascii="楷体" w:hAnsi="楷体" w:eastAsia="楷体" w:cs="楷体"/>
                <w:bCs/>
                <w:color w:val="000000" w:themeColor="text1"/>
                <w:sz w:val="20"/>
                <w:szCs w:val="20"/>
                <w:highlight w:val="none"/>
                <w14:textFill>
                  <w14:solidFill>
                    <w14:schemeClr w14:val="tx1"/>
                  </w14:solidFill>
                </w14:textFill>
              </w:rPr>
            </w:pPr>
            <w:r>
              <w:rPr>
                <w:rFonts w:hint="eastAsia" w:ascii="楷体" w:hAnsi="楷体" w:eastAsia="楷体" w:cs="楷体"/>
                <w:bCs/>
                <w:color w:val="000000" w:themeColor="text1"/>
                <w:sz w:val="20"/>
                <w:szCs w:val="20"/>
                <w:highlight w:val="none"/>
                <w14:textFill>
                  <w14:solidFill>
                    <w14:schemeClr w14:val="tx1"/>
                  </w14:solidFill>
                </w14:textFill>
              </w:rPr>
              <w:t>1.收益构成</w:t>
            </w:r>
          </w:p>
          <w:p>
            <w:pPr>
              <w:keepNext w:val="0"/>
              <w:keepLines w:val="0"/>
              <w:pageBreakBefore w:val="0"/>
              <w:widowControl/>
              <w:bidi w:val="0"/>
              <w:spacing w:line="240" w:lineRule="auto"/>
              <w:jc w:val="both"/>
              <w:rPr>
                <w:rFonts w:hint="eastAsia" w:ascii="楷体" w:hAnsi="楷体" w:eastAsia="楷体" w:cs="楷体"/>
                <w:bCs/>
                <w:color w:val="000000" w:themeColor="text1"/>
                <w:sz w:val="20"/>
                <w:szCs w:val="20"/>
                <w:highlight w:val="none"/>
                <w14:textFill>
                  <w14:solidFill>
                    <w14:schemeClr w14:val="tx1"/>
                  </w14:solidFill>
                </w14:textFill>
              </w:rPr>
            </w:pPr>
            <w:r>
              <w:rPr>
                <w:rFonts w:hint="eastAsia" w:ascii="楷体" w:hAnsi="楷体" w:eastAsia="楷体" w:cs="楷体"/>
                <w:bCs/>
                <w:color w:val="000000" w:themeColor="text1"/>
                <w:sz w:val="20"/>
                <w:szCs w:val="20"/>
                <w:highlight w:val="none"/>
                <w14:textFill>
                  <w14:solidFill>
                    <w14:schemeClr w14:val="tx1"/>
                  </w14:solidFill>
                </w14:textFill>
              </w:rPr>
              <w:t>本理财产品的收益包括期间收益分配（如有）与终止收益分配（如有）。</w:t>
            </w:r>
          </w:p>
          <w:p>
            <w:pPr>
              <w:keepNext w:val="0"/>
              <w:keepLines w:val="0"/>
              <w:pageBreakBefore w:val="0"/>
              <w:widowControl/>
              <w:bidi w:val="0"/>
              <w:spacing w:line="240" w:lineRule="auto"/>
              <w:jc w:val="both"/>
              <w:rPr>
                <w:rFonts w:hint="eastAsia" w:ascii="楷体" w:hAnsi="楷体" w:eastAsia="楷体" w:cs="楷体"/>
                <w:bCs/>
                <w:color w:val="000000" w:themeColor="text1"/>
                <w:sz w:val="20"/>
                <w:szCs w:val="20"/>
                <w:highlight w:val="none"/>
                <w14:textFill>
                  <w14:solidFill>
                    <w14:schemeClr w14:val="tx1"/>
                  </w14:solidFill>
                </w14:textFill>
              </w:rPr>
            </w:pPr>
            <w:r>
              <w:rPr>
                <w:rFonts w:hint="eastAsia" w:ascii="楷体" w:hAnsi="楷体" w:eastAsia="楷体" w:cs="楷体"/>
                <w:bCs/>
                <w:color w:val="000000" w:themeColor="text1"/>
                <w:sz w:val="20"/>
                <w:szCs w:val="20"/>
                <w:highlight w:val="none"/>
                <w14:textFill>
                  <w14:solidFill>
                    <w14:schemeClr w14:val="tx1"/>
                  </w14:solidFill>
                </w14:textFill>
              </w:rPr>
              <w:t>（1）期间分配</w:t>
            </w:r>
          </w:p>
          <w:p>
            <w:pPr>
              <w:keepNext w:val="0"/>
              <w:keepLines w:val="0"/>
              <w:pageBreakBefore w:val="0"/>
              <w:widowControl/>
              <w:bidi w:val="0"/>
              <w:spacing w:line="240" w:lineRule="auto"/>
              <w:jc w:val="both"/>
              <w:rPr>
                <w:rFonts w:hint="eastAsia" w:ascii="楷体" w:hAnsi="楷体" w:eastAsia="楷体" w:cs="楷体"/>
                <w:bCs/>
                <w:color w:val="000000" w:themeColor="text1"/>
                <w:sz w:val="20"/>
                <w:szCs w:val="20"/>
                <w:highlight w:val="none"/>
                <w14:textFill>
                  <w14:solidFill>
                    <w14:schemeClr w14:val="tx1"/>
                  </w14:solidFill>
                </w14:textFill>
              </w:rPr>
            </w:pPr>
            <w:r>
              <w:rPr>
                <w:rFonts w:hint="eastAsia" w:ascii="楷体" w:hAnsi="楷体" w:eastAsia="楷体" w:cs="楷体"/>
                <w:bCs/>
                <w:color w:val="000000" w:themeColor="text1"/>
                <w:sz w:val="20"/>
                <w:szCs w:val="20"/>
                <w:highlight w:val="none"/>
                <w14:textFill>
                  <w14:solidFill>
                    <w14:schemeClr w14:val="tx1"/>
                  </w14:solidFill>
                </w14:textFill>
              </w:rPr>
              <w:t>本产品无分红机制，投资运作情况体现为产品净值变化。产品投资运作到期，投资收益扣除相关费用后，全部分配给投资者。</w:t>
            </w:r>
          </w:p>
          <w:p>
            <w:pPr>
              <w:keepNext w:val="0"/>
              <w:keepLines w:val="0"/>
              <w:pageBreakBefore w:val="0"/>
              <w:widowControl/>
              <w:bidi w:val="0"/>
              <w:spacing w:line="240" w:lineRule="auto"/>
              <w:jc w:val="both"/>
              <w:rPr>
                <w:rFonts w:hint="eastAsia" w:ascii="楷体" w:hAnsi="楷体" w:eastAsia="楷体" w:cs="楷体"/>
                <w:bCs/>
                <w:color w:val="000000" w:themeColor="text1"/>
                <w:sz w:val="20"/>
                <w:szCs w:val="20"/>
                <w:highlight w:val="none"/>
                <w14:textFill>
                  <w14:solidFill>
                    <w14:schemeClr w14:val="tx1"/>
                  </w14:solidFill>
                </w14:textFill>
              </w:rPr>
            </w:pPr>
            <w:r>
              <w:rPr>
                <w:rFonts w:hint="eastAsia" w:ascii="楷体" w:hAnsi="楷体" w:eastAsia="楷体" w:cs="楷体"/>
                <w:bCs/>
                <w:color w:val="000000" w:themeColor="text1"/>
                <w:sz w:val="20"/>
                <w:szCs w:val="20"/>
                <w:highlight w:val="none"/>
                <w14:textFill>
                  <w14:solidFill>
                    <w14:schemeClr w14:val="tx1"/>
                  </w14:solidFill>
                </w14:textFill>
              </w:rPr>
              <w:t>（2）终止分配</w:t>
            </w:r>
          </w:p>
          <w:p>
            <w:pPr>
              <w:keepNext w:val="0"/>
              <w:keepLines w:val="0"/>
              <w:pageBreakBefore w:val="0"/>
              <w:widowControl/>
              <w:bidi w:val="0"/>
              <w:spacing w:line="240" w:lineRule="auto"/>
              <w:jc w:val="both"/>
              <w:rPr>
                <w:rFonts w:hint="eastAsia" w:ascii="楷体" w:hAnsi="楷体" w:eastAsia="楷体" w:cs="楷体"/>
                <w:bCs/>
                <w:color w:val="000000" w:themeColor="text1"/>
                <w:sz w:val="20"/>
                <w:szCs w:val="20"/>
                <w:highlight w:val="none"/>
                <w14:textFill>
                  <w14:solidFill>
                    <w14:schemeClr w14:val="tx1"/>
                  </w14:solidFill>
                </w14:textFill>
              </w:rPr>
            </w:pPr>
            <w:r>
              <w:rPr>
                <w:rFonts w:hint="eastAsia" w:ascii="楷体" w:hAnsi="楷体" w:eastAsia="楷体" w:cs="楷体"/>
                <w:bCs/>
                <w:color w:val="000000" w:themeColor="text1"/>
                <w:sz w:val="20"/>
                <w:szCs w:val="20"/>
                <w:highlight w:val="none"/>
                <w14:textFill>
                  <w14:solidFill>
                    <w14:schemeClr w14:val="tx1"/>
                  </w14:solidFill>
                </w14:textFill>
              </w:rPr>
              <w:t>产品投资运作到期，投资收益扣除相关费用后，全部分配给投资者。产品管理人将按“产品终止”中的相关约定向投资者分配理财利益（如有）。</w:t>
            </w:r>
          </w:p>
          <w:p>
            <w:pPr>
              <w:keepNext w:val="0"/>
              <w:keepLines w:val="0"/>
              <w:pageBreakBefore w:val="0"/>
              <w:widowControl/>
              <w:bidi w:val="0"/>
              <w:spacing w:line="240" w:lineRule="auto"/>
              <w:jc w:val="both"/>
              <w:rPr>
                <w:rFonts w:hint="eastAsia" w:ascii="楷体" w:hAnsi="楷体" w:eastAsia="楷体" w:cs="楷体"/>
                <w:bCs/>
                <w:color w:val="000000" w:themeColor="text1"/>
                <w:sz w:val="20"/>
                <w:szCs w:val="20"/>
                <w:highlight w:val="none"/>
                <w14:textFill>
                  <w14:solidFill>
                    <w14:schemeClr w14:val="tx1"/>
                  </w14:solidFill>
                </w14:textFill>
              </w:rPr>
            </w:pPr>
            <w:r>
              <w:rPr>
                <w:rFonts w:hint="eastAsia" w:ascii="楷体" w:hAnsi="楷体" w:eastAsia="楷体" w:cs="楷体"/>
                <w:bCs/>
                <w:color w:val="000000" w:themeColor="text1"/>
                <w:sz w:val="20"/>
                <w:szCs w:val="20"/>
                <w:highlight w:val="none"/>
                <w14:textFill>
                  <w14:solidFill>
                    <w14:schemeClr w14:val="tx1"/>
                  </w14:solidFill>
                </w14:textFill>
              </w:rPr>
              <w:t>2.收益分配原则</w:t>
            </w:r>
          </w:p>
          <w:p>
            <w:pPr>
              <w:keepNext w:val="0"/>
              <w:keepLines w:val="0"/>
              <w:pageBreakBefore w:val="0"/>
              <w:widowControl/>
              <w:bidi w:val="0"/>
              <w:spacing w:line="240" w:lineRule="auto"/>
              <w:jc w:val="both"/>
              <w:rPr>
                <w:rFonts w:hint="eastAsia" w:ascii="楷体" w:hAnsi="楷体" w:eastAsia="楷体" w:cs="楷体"/>
                <w:bCs/>
                <w:color w:val="000000" w:themeColor="text1"/>
                <w:sz w:val="20"/>
                <w:szCs w:val="20"/>
                <w:highlight w:val="none"/>
                <w14:textFill>
                  <w14:solidFill>
                    <w14:schemeClr w14:val="tx1"/>
                  </w14:solidFill>
                </w14:textFill>
              </w:rPr>
            </w:pPr>
            <w:r>
              <w:rPr>
                <w:rFonts w:hint="eastAsia" w:ascii="楷体" w:hAnsi="楷体" w:eastAsia="楷体" w:cs="楷体"/>
                <w:bCs/>
                <w:color w:val="000000" w:themeColor="text1"/>
                <w:sz w:val="20"/>
                <w:szCs w:val="20"/>
                <w:highlight w:val="none"/>
                <w14:textFill>
                  <w14:solidFill>
                    <w14:schemeClr w14:val="tx1"/>
                  </w14:solidFill>
                </w14:textFill>
              </w:rPr>
              <w:t>（1）收益分配采用现金分配方式；</w:t>
            </w:r>
          </w:p>
          <w:p>
            <w:pPr>
              <w:keepNext w:val="0"/>
              <w:keepLines w:val="0"/>
              <w:pageBreakBefore w:val="0"/>
              <w:widowControl/>
              <w:bidi w:val="0"/>
              <w:spacing w:line="240" w:lineRule="auto"/>
              <w:jc w:val="both"/>
              <w:rPr>
                <w:rFonts w:hint="eastAsia" w:ascii="楷体" w:hAnsi="楷体" w:eastAsia="楷体" w:cs="楷体"/>
                <w:bCs/>
                <w:color w:val="000000" w:themeColor="text1"/>
                <w:sz w:val="20"/>
                <w:szCs w:val="20"/>
                <w:highlight w:val="none"/>
                <w14:textFill>
                  <w14:solidFill>
                    <w14:schemeClr w14:val="tx1"/>
                  </w14:solidFill>
                </w14:textFill>
              </w:rPr>
            </w:pPr>
            <w:r>
              <w:rPr>
                <w:rFonts w:hint="eastAsia" w:ascii="楷体" w:hAnsi="楷体" w:eastAsia="楷体" w:cs="楷体"/>
                <w:bCs/>
                <w:color w:val="000000" w:themeColor="text1"/>
                <w:sz w:val="20"/>
                <w:szCs w:val="20"/>
                <w:highlight w:val="none"/>
                <w14:textFill>
                  <w14:solidFill>
                    <w14:schemeClr w14:val="tx1"/>
                  </w14:solidFill>
                </w14:textFill>
              </w:rPr>
              <w:t>（2）每一产品同一份额享有同等分配权。</w:t>
            </w:r>
          </w:p>
          <w:p>
            <w:pPr>
              <w:keepNext w:val="0"/>
              <w:keepLines w:val="0"/>
              <w:pageBreakBefore w:val="0"/>
              <w:widowControl/>
              <w:bidi w:val="0"/>
              <w:spacing w:line="240" w:lineRule="auto"/>
              <w:jc w:val="both"/>
              <w:rPr>
                <w:rFonts w:hint="eastAsia" w:ascii="楷体" w:hAnsi="楷体" w:eastAsia="楷体" w:cs="楷体"/>
                <w:bCs/>
                <w:color w:val="000000" w:themeColor="text1"/>
                <w:sz w:val="20"/>
                <w:szCs w:val="20"/>
                <w:highlight w:val="none"/>
                <w14:textFill>
                  <w14:solidFill>
                    <w14:schemeClr w14:val="tx1"/>
                  </w14:solidFill>
                </w14:textFill>
              </w:rPr>
            </w:pPr>
            <w:r>
              <w:rPr>
                <w:rFonts w:hint="eastAsia" w:ascii="楷体" w:hAnsi="楷体" w:eastAsia="楷体" w:cs="楷体"/>
                <w:bCs/>
                <w:color w:val="000000" w:themeColor="text1"/>
                <w:sz w:val="20"/>
                <w:szCs w:val="20"/>
                <w:highlight w:val="none"/>
                <w14:textFill>
                  <w14:solidFill>
                    <w14:schemeClr w14:val="tx1"/>
                  </w14:solidFill>
                </w14:textFill>
              </w:rPr>
              <w:t>3.收益分配的披露</w:t>
            </w:r>
          </w:p>
          <w:p>
            <w:pPr>
              <w:keepNext w:val="0"/>
              <w:keepLines w:val="0"/>
              <w:pageBreakBefore w:val="0"/>
              <w:widowControl/>
              <w:bidi w:val="0"/>
              <w:spacing w:line="240" w:lineRule="auto"/>
              <w:jc w:val="both"/>
              <w:rPr>
                <w:rFonts w:hint="eastAsia" w:ascii="楷体" w:hAnsi="楷体" w:eastAsia="楷体" w:cs="楷体"/>
                <w:bCs/>
                <w:color w:val="000000" w:themeColor="text1"/>
                <w:sz w:val="20"/>
                <w:szCs w:val="20"/>
                <w:highlight w:val="none"/>
                <w14:textFill>
                  <w14:solidFill>
                    <w14:schemeClr w14:val="tx1"/>
                  </w14:solidFill>
                </w14:textFill>
              </w:rPr>
            </w:pPr>
            <w:r>
              <w:rPr>
                <w:rFonts w:hint="eastAsia" w:ascii="楷体" w:hAnsi="楷体" w:eastAsia="楷体" w:cs="楷体"/>
                <w:bCs/>
                <w:color w:val="000000" w:themeColor="text1"/>
                <w:sz w:val="20"/>
                <w:szCs w:val="20"/>
                <w:highlight w:val="none"/>
                <w14:textFill>
                  <w14:solidFill>
                    <w14:schemeClr w14:val="tx1"/>
                  </w14:solidFill>
                </w14:textFill>
              </w:rPr>
              <w:t>如本产品进行收益分配，或产品存续期内收益分配方案发生变更，管理人将按“信息披露”约定的方式向投资者进行披露。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656" w:type="dxa"/>
            <w:gridSpan w:val="2"/>
            <w:noWrap w:val="0"/>
            <w:vAlign w:val="center"/>
          </w:tcPr>
          <w:p>
            <w:pPr>
              <w:keepNext w:val="0"/>
              <w:keepLines w:val="0"/>
              <w:pageBreakBefore w:val="0"/>
              <w:widowControl/>
              <w:bidi w:val="0"/>
              <w:spacing w:line="240" w:lineRule="auto"/>
              <w:jc w:val="center"/>
              <w:rPr>
                <w:rFonts w:hint="eastAsia" w:ascii="楷体" w:hAnsi="楷体" w:eastAsia="楷体" w:cs="楷体"/>
                <w:b/>
                <w:bCs/>
                <w:color w:val="000000" w:themeColor="text1"/>
                <w:sz w:val="20"/>
                <w:szCs w:val="20"/>
                <w:highlight w:val="none"/>
                <w14:textFill>
                  <w14:solidFill>
                    <w14:schemeClr w14:val="tx1"/>
                  </w14:solidFill>
                </w14:textFill>
              </w:rPr>
            </w:pPr>
            <w:r>
              <w:rPr>
                <w:rFonts w:hint="eastAsia" w:ascii="楷体" w:hAnsi="楷体" w:eastAsia="楷体" w:cs="楷体"/>
                <w:b/>
                <w:bCs/>
                <w:color w:val="000000" w:themeColor="text1"/>
                <w:sz w:val="20"/>
                <w:szCs w:val="20"/>
                <w:highlight w:val="none"/>
                <w14:textFill>
                  <w14:solidFill>
                    <w14:schemeClr w14:val="tx1"/>
                  </w14:solidFill>
                </w14:textFill>
              </w:rPr>
              <w:t>（三）产品性质与类型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178" w:type="dxa"/>
            <w:noWrap w:val="0"/>
            <w:vAlign w:val="center"/>
          </w:tcPr>
          <w:p>
            <w:pPr>
              <w:keepNext w:val="0"/>
              <w:keepLines w:val="0"/>
              <w:pageBreakBefore w:val="0"/>
              <w:widowControl/>
              <w:bidi w:val="0"/>
              <w:spacing w:line="240" w:lineRule="auto"/>
              <w:jc w:val="center"/>
              <w:rPr>
                <w:rFonts w:hint="eastAsia" w:ascii="楷体" w:hAnsi="楷体" w:eastAsia="楷体" w:cs="楷体"/>
                <w:b/>
                <w:bCs/>
                <w:color w:val="000000" w:themeColor="text1"/>
                <w:sz w:val="20"/>
                <w:szCs w:val="20"/>
                <w:highlight w:val="none"/>
                <w14:textFill>
                  <w14:solidFill>
                    <w14:schemeClr w14:val="tx1"/>
                  </w14:solidFill>
                </w14:textFill>
              </w:rPr>
            </w:pPr>
            <w:r>
              <w:rPr>
                <w:rFonts w:hint="eastAsia" w:ascii="楷体" w:hAnsi="楷体" w:eastAsia="楷体" w:cs="楷体"/>
                <w:b/>
                <w:bCs/>
                <w:color w:val="000000" w:themeColor="text1"/>
                <w:sz w:val="20"/>
                <w:szCs w:val="20"/>
                <w:highlight w:val="none"/>
                <w14:textFill>
                  <w14:solidFill>
                    <w14:schemeClr w14:val="tx1"/>
                  </w14:solidFill>
                </w14:textFill>
              </w:rPr>
              <w:t>产品募集方式</w:t>
            </w:r>
          </w:p>
        </w:tc>
        <w:tc>
          <w:tcPr>
            <w:tcW w:w="7478" w:type="dxa"/>
            <w:noWrap w:val="0"/>
            <w:vAlign w:val="center"/>
          </w:tcPr>
          <w:p>
            <w:pPr>
              <w:keepNext w:val="0"/>
              <w:keepLines w:val="0"/>
              <w:pageBreakBefore w:val="0"/>
              <w:widowControl/>
              <w:bidi w:val="0"/>
              <w:spacing w:line="240" w:lineRule="auto"/>
              <w:jc w:val="both"/>
              <w:rPr>
                <w:rFonts w:hint="eastAsia" w:ascii="楷体" w:hAnsi="楷体" w:eastAsia="楷体" w:cs="楷体"/>
                <w:bCs/>
                <w:color w:val="000000" w:themeColor="text1"/>
                <w:sz w:val="20"/>
                <w:szCs w:val="20"/>
                <w:highlight w:val="none"/>
                <w14:textFill>
                  <w14:solidFill>
                    <w14:schemeClr w14:val="tx1"/>
                  </w14:solidFill>
                </w14:textFill>
              </w:rPr>
            </w:pPr>
            <w:r>
              <w:rPr>
                <w:rFonts w:hint="eastAsia" w:ascii="楷体" w:hAnsi="楷体" w:eastAsia="楷体" w:cs="楷体"/>
                <w:bCs/>
                <w:color w:val="000000" w:themeColor="text1"/>
                <w:sz w:val="20"/>
                <w:szCs w:val="20"/>
                <w:highlight w:val="none"/>
                <w14:textFill>
                  <w14:solidFill>
                    <w14:schemeClr w14:val="tx1"/>
                  </w14:solidFill>
                </w14:textFill>
              </w:rPr>
              <w:t>公募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178" w:type="dxa"/>
            <w:noWrap w:val="0"/>
            <w:vAlign w:val="center"/>
          </w:tcPr>
          <w:p>
            <w:pPr>
              <w:keepNext w:val="0"/>
              <w:keepLines w:val="0"/>
              <w:pageBreakBefore w:val="0"/>
              <w:widowControl/>
              <w:bidi w:val="0"/>
              <w:spacing w:line="240" w:lineRule="auto"/>
              <w:jc w:val="center"/>
              <w:rPr>
                <w:rFonts w:hint="eastAsia" w:ascii="楷体" w:hAnsi="楷体" w:eastAsia="楷体" w:cs="楷体"/>
                <w:b/>
                <w:bCs/>
                <w:color w:val="000000" w:themeColor="text1"/>
                <w:sz w:val="20"/>
                <w:szCs w:val="20"/>
                <w:highlight w:val="none"/>
                <w14:textFill>
                  <w14:solidFill>
                    <w14:schemeClr w14:val="tx1"/>
                  </w14:solidFill>
                </w14:textFill>
              </w:rPr>
            </w:pPr>
            <w:r>
              <w:rPr>
                <w:rFonts w:hint="eastAsia" w:ascii="楷体" w:hAnsi="楷体" w:eastAsia="楷体" w:cs="楷体"/>
                <w:b/>
                <w:bCs/>
                <w:color w:val="000000" w:themeColor="text1"/>
                <w:sz w:val="20"/>
                <w:szCs w:val="20"/>
                <w:highlight w:val="none"/>
                <w14:textFill>
                  <w14:solidFill>
                    <w14:schemeClr w14:val="tx1"/>
                  </w14:solidFill>
                </w14:textFill>
              </w:rPr>
              <w:t>产品投资性质</w:t>
            </w:r>
          </w:p>
        </w:tc>
        <w:tc>
          <w:tcPr>
            <w:tcW w:w="7478" w:type="dxa"/>
            <w:noWrap w:val="0"/>
            <w:vAlign w:val="center"/>
          </w:tcPr>
          <w:p>
            <w:pPr>
              <w:keepNext w:val="0"/>
              <w:keepLines w:val="0"/>
              <w:pageBreakBefore w:val="0"/>
              <w:widowControl/>
              <w:bidi w:val="0"/>
              <w:spacing w:line="240" w:lineRule="auto"/>
              <w:jc w:val="both"/>
              <w:rPr>
                <w:rFonts w:hint="eastAsia" w:ascii="楷体" w:hAnsi="楷体" w:eastAsia="楷体" w:cs="楷体"/>
                <w:bCs/>
                <w:color w:val="000000" w:themeColor="text1"/>
                <w:sz w:val="20"/>
                <w:szCs w:val="20"/>
                <w:highlight w:val="none"/>
                <w14:textFill>
                  <w14:solidFill>
                    <w14:schemeClr w14:val="tx1"/>
                  </w14:solidFill>
                </w14:textFill>
              </w:rPr>
            </w:pPr>
            <w:r>
              <w:rPr>
                <w:rFonts w:hint="eastAsia" w:ascii="楷体" w:hAnsi="楷体" w:eastAsia="楷体" w:cs="楷体"/>
                <w:bCs/>
                <w:color w:val="000000" w:themeColor="text1"/>
                <w:sz w:val="20"/>
                <w:szCs w:val="20"/>
                <w:highlight w:val="none"/>
                <w14:textFill>
                  <w14:solidFill>
                    <w14:schemeClr w14:val="tx1"/>
                  </w14:solidFill>
                </w14:textFill>
              </w:rPr>
              <w:t>固定收益类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178" w:type="dxa"/>
            <w:noWrap w:val="0"/>
            <w:vAlign w:val="center"/>
          </w:tcPr>
          <w:p>
            <w:pPr>
              <w:keepNext w:val="0"/>
              <w:keepLines w:val="0"/>
              <w:pageBreakBefore w:val="0"/>
              <w:widowControl/>
              <w:bidi w:val="0"/>
              <w:spacing w:line="240" w:lineRule="auto"/>
              <w:jc w:val="center"/>
              <w:rPr>
                <w:rFonts w:hint="eastAsia" w:ascii="楷体" w:hAnsi="楷体" w:eastAsia="楷体" w:cs="楷体"/>
                <w:b/>
                <w:bCs/>
                <w:color w:val="000000" w:themeColor="text1"/>
                <w:sz w:val="20"/>
                <w:szCs w:val="20"/>
                <w:highlight w:val="none"/>
                <w14:textFill>
                  <w14:solidFill>
                    <w14:schemeClr w14:val="tx1"/>
                  </w14:solidFill>
                </w14:textFill>
              </w:rPr>
            </w:pPr>
            <w:r>
              <w:rPr>
                <w:rFonts w:hint="eastAsia" w:ascii="楷体" w:hAnsi="楷体" w:eastAsia="楷体" w:cs="楷体"/>
                <w:b/>
                <w:bCs/>
                <w:color w:val="000000" w:themeColor="text1"/>
                <w:sz w:val="20"/>
                <w:szCs w:val="20"/>
                <w:highlight w:val="none"/>
                <w14:textFill>
                  <w14:solidFill>
                    <w14:schemeClr w14:val="tx1"/>
                  </w14:solidFill>
                </w14:textFill>
              </w:rPr>
              <w:t>产品运作模式</w:t>
            </w:r>
          </w:p>
        </w:tc>
        <w:tc>
          <w:tcPr>
            <w:tcW w:w="7478" w:type="dxa"/>
            <w:noWrap w:val="0"/>
            <w:vAlign w:val="center"/>
          </w:tcPr>
          <w:p>
            <w:pPr>
              <w:keepNext w:val="0"/>
              <w:keepLines w:val="0"/>
              <w:pageBreakBefore w:val="0"/>
              <w:widowControl/>
              <w:bidi w:val="0"/>
              <w:spacing w:line="240" w:lineRule="auto"/>
              <w:jc w:val="both"/>
              <w:rPr>
                <w:rFonts w:hint="eastAsia" w:ascii="楷体" w:hAnsi="楷体" w:eastAsia="楷体" w:cs="楷体"/>
                <w:bCs/>
                <w:color w:val="000000" w:themeColor="text1"/>
                <w:sz w:val="20"/>
                <w:szCs w:val="20"/>
                <w:highlight w:val="none"/>
                <w14:textFill>
                  <w14:solidFill>
                    <w14:schemeClr w14:val="tx1"/>
                  </w14:solidFill>
                </w14:textFill>
              </w:rPr>
            </w:pPr>
            <w:r>
              <w:rPr>
                <w:rFonts w:hint="eastAsia" w:ascii="楷体" w:hAnsi="楷体" w:eastAsia="楷体" w:cs="楷体"/>
                <w:bCs/>
                <w:color w:val="000000" w:themeColor="text1"/>
                <w:sz w:val="20"/>
                <w:szCs w:val="20"/>
                <w:highlight w:val="none"/>
                <w14:textFill>
                  <w14:solidFill>
                    <w14:schemeClr w14:val="tx1"/>
                  </w14:solidFill>
                </w14:textFill>
              </w:rPr>
              <w:t>封闭式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178" w:type="dxa"/>
            <w:noWrap w:val="0"/>
            <w:vAlign w:val="center"/>
          </w:tcPr>
          <w:p>
            <w:pPr>
              <w:keepNext w:val="0"/>
              <w:keepLines w:val="0"/>
              <w:pageBreakBefore w:val="0"/>
              <w:widowControl/>
              <w:bidi w:val="0"/>
              <w:spacing w:line="240" w:lineRule="auto"/>
              <w:jc w:val="center"/>
              <w:rPr>
                <w:rFonts w:hint="eastAsia" w:ascii="楷体" w:hAnsi="楷体" w:eastAsia="楷体" w:cs="楷体"/>
                <w:b/>
                <w:bCs/>
                <w:color w:val="000000" w:themeColor="text1"/>
                <w:sz w:val="20"/>
                <w:szCs w:val="20"/>
                <w:highlight w:val="none"/>
                <w14:textFill>
                  <w14:solidFill>
                    <w14:schemeClr w14:val="tx1"/>
                  </w14:solidFill>
                </w14:textFill>
              </w:rPr>
            </w:pPr>
            <w:r>
              <w:rPr>
                <w:rFonts w:hint="eastAsia" w:ascii="楷体" w:hAnsi="楷体" w:eastAsia="楷体" w:cs="楷体"/>
                <w:b/>
                <w:bCs/>
                <w:color w:val="000000" w:themeColor="text1"/>
                <w:sz w:val="20"/>
                <w:szCs w:val="20"/>
                <w:highlight w:val="none"/>
                <w14:textFill>
                  <w14:solidFill>
                    <w14:schemeClr w14:val="tx1"/>
                  </w14:solidFill>
                </w14:textFill>
              </w:rPr>
              <w:t>产品运作模式（二级）</w:t>
            </w:r>
          </w:p>
        </w:tc>
        <w:tc>
          <w:tcPr>
            <w:tcW w:w="7478" w:type="dxa"/>
            <w:noWrap w:val="0"/>
            <w:vAlign w:val="center"/>
          </w:tcPr>
          <w:p>
            <w:pPr>
              <w:keepNext w:val="0"/>
              <w:keepLines w:val="0"/>
              <w:pageBreakBefore w:val="0"/>
              <w:widowControl/>
              <w:bidi w:val="0"/>
              <w:spacing w:line="240" w:lineRule="auto"/>
              <w:jc w:val="both"/>
              <w:rPr>
                <w:rFonts w:hint="eastAsia" w:ascii="楷体" w:hAnsi="楷体" w:eastAsia="楷体" w:cs="楷体"/>
                <w:bCs/>
                <w:color w:val="000000" w:themeColor="text1"/>
                <w:sz w:val="20"/>
                <w:szCs w:val="20"/>
                <w:highlight w:val="none"/>
                <w:lang w:val="en-US" w:eastAsia="zh-CN"/>
                <w14:textFill>
                  <w14:solidFill>
                    <w14:schemeClr w14:val="tx1"/>
                  </w14:solidFill>
                </w14:textFill>
              </w:rPr>
            </w:pPr>
            <w:r>
              <w:rPr>
                <w:rFonts w:hint="eastAsia" w:ascii="楷体" w:hAnsi="楷体" w:eastAsia="楷体" w:cs="楷体"/>
                <w:bCs/>
                <w:color w:val="000000" w:themeColor="text1"/>
                <w:sz w:val="20"/>
                <w:szCs w:val="20"/>
                <w:highlight w:val="none"/>
                <w14:textFill>
                  <w14:solidFill>
                    <w14:schemeClr w14:val="tx1"/>
                  </w14:solidFill>
                </w14:textFill>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178" w:type="dxa"/>
            <w:noWrap w:val="0"/>
            <w:vAlign w:val="center"/>
          </w:tcPr>
          <w:p>
            <w:pPr>
              <w:keepNext w:val="0"/>
              <w:keepLines w:val="0"/>
              <w:pageBreakBefore w:val="0"/>
              <w:widowControl/>
              <w:bidi w:val="0"/>
              <w:spacing w:line="240" w:lineRule="auto"/>
              <w:jc w:val="center"/>
              <w:rPr>
                <w:rFonts w:hint="eastAsia" w:ascii="楷体" w:hAnsi="楷体" w:eastAsia="楷体" w:cs="楷体"/>
                <w:b/>
                <w:bCs/>
                <w:color w:val="000000" w:themeColor="text1"/>
                <w:sz w:val="20"/>
                <w:szCs w:val="20"/>
                <w:highlight w:val="none"/>
                <w14:textFill>
                  <w14:solidFill>
                    <w14:schemeClr w14:val="tx1"/>
                  </w14:solidFill>
                </w14:textFill>
              </w:rPr>
            </w:pPr>
            <w:r>
              <w:rPr>
                <w:rFonts w:hint="eastAsia" w:ascii="楷体" w:hAnsi="楷体" w:eastAsia="楷体" w:cs="楷体"/>
                <w:b/>
                <w:bCs/>
                <w:color w:val="000000" w:themeColor="text1"/>
                <w:sz w:val="20"/>
                <w:szCs w:val="20"/>
                <w:highlight w:val="none"/>
                <w14:textFill>
                  <w14:solidFill>
                    <w14:schemeClr w14:val="tx1"/>
                  </w14:solidFill>
                </w14:textFill>
              </w:rPr>
              <w:t>产品风险等级</w:t>
            </w:r>
          </w:p>
        </w:tc>
        <w:tc>
          <w:tcPr>
            <w:tcW w:w="7478" w:type="dxa"/>
            <w:noWrap w:val="0"/>
            <w:vAlign w:val="center"/>
          </w:tcPr>
          <w:p>
            <w:pPr>
              <w:keepNext w:val="0"/>
              <w:keepLines w:val="0"/>
              <w:pageBreakBefore w:val="0"/>
              <w:widowControl/>
              <w:bidi w:val="0"/>
              <w:spacing w:line="240" w:lineRule="auto"/>
              <w:jc w:val="both"/>
              <w:rPr>
                <w:rFonts w:hint="eastAsia" w:ascii="楷体" w:hAnsi="楷体" w:eastAsia="楷体" w:cs="楷体"/>
                <w:bCs/>
                <w:color w:val="000000" w:themeColor="text1"/>
                <w:sz w:val="20"/>
                <w:szCs w:val="20"/>
                <w:highlight w:val="none"/>
                <w14:textFill>
                  <w14:solidFill>
                    <w14:schemeClr w14:val="tx1"/>
                  </w14:solidFill>
                </w14:textFill>
              </w:rPr>
            </w:pPr>
            <w:r>
              <w:rPr>
                <w:rFonts w:hint="eastAsia" w:ascii="楷体" w:hAnsi="楷体" w:eastAsia="楷体" w:cs="楷体"/>
                <w:bCs/>
                <w:color w:val="000000" w:themeColor="text1"/>
                <w:sz w:val="20"/>
                <w:szCs w:val="20"/>
                <w:highlight w:val="none"/>
                <w14:textFill>
                  <w14:solidFill>
                    <w14:schemeClr w14:val="tx1"/>
                  </w14:solidFill>
                </w14:textFill>
              </w:rPr>
              <w:t>二级</w:t>
            </w:r>
          </w:p>
          <w:p>
            <w:pPr>
              <w:pStyle w:val="28"/>
              <w:keepNext w:val="0"/>
              <w:keepLines w:val="0"/>
              <w:pageBreakBefore w:val="0"/>
              <w:widowControl w:val="0"/>
              <w:bidi w:val="0"/>
              <w:spacing w:line="240" w:lineRule="auto"/>
              <w:ind w:left="0" w:firstLine="0"/>
              <w:rPr>
                <w:rFonts w:hint="eastAsia" w:ascii="楷体" w:hAnsi="楷体" w:eastAsia="楷体" w:cs="楷体"/>
                <w:color w:val="auto"/>
                <w:sz w:val="20"/>
                <w:szCs w:val="20"/>
                <w:highlight w:val="none"/>
                <w:lang w:val="en-US" w:eastAsia="zh-CN" w:bidi="ar-SA"/>
              </w:rPr>
            </w:pPr>
            <w:r>
              <w:rPr>
                <w:rFonts w:hint="eastAsia" w:ascii="楷体" w:hAnsi="楷体" w:eastAsia="楷体" w:cs="楷体"/>
                <w:color w:val="auto"/>
                <w:sz w:val="20"/>
                <w:szCs w:val="20"/>
                <w:highlight w:val="none"/>
                <w:lang w:val="en-US" w:eastAsia="zh-CN" w:bidi="ar-SA"/>
              </w:rPr>
              <w:t>（重要提示：该等级为理财产品发行机构评定结果，该产品通过代理销售机构渠道销售的，理财产品评级应当以代理销售机构最终披露的评级结果为准。）</w:t>
            </w:r>
          </w:p>
          <w:p>
            <w:pPr>
              <w:keepNext w:val="0"/>
              <w:keepLines w:val="0"/>
              <w:pageBreakBefore w:val="0"/>
              <w:numPr>
                <w:ilvl w:val="0"/>
                <w:numId w:val="0"/>
              </w:numPr>
              <w:bidi w:val="0"/>
              <w:spacing w:line="240" w:lineRule="auto"/>
              <w:ind w:left="0" w:right="0" w:firstLine="0"/>
              <w:rPr>
                <w:rFonts w:hint="eastAsia" w:ascii="楷体" w:hAnsi="楷体" w:eastAsia="楷体" w:cs="楷体"/>
                <w:color w:val="auto"/>
                <w:sz w:val="20"/>
                <w:szCs w:val="20"/>
                <w:highlight w:val="none"/>
              </w:rPr>
            </w:pPr>
            <w:r>
              <w:rPr>
                <w:rFonts w:hint="eastAsia" w:ascii="楷体" w:hAnsi="楷体" w:eastAsia="楷体" w:cs="楷体"/>
                <w:color w:val="auto"/>
                <w:sz w:val="20"/>
                <w:szCs w:val="20"/>
                <w:highlight w:val="none"/>
                <w:lang w:val="en-US" w:eastAsia="zh-CN"/>
              </w:rPr>
              <w:t>1.</w:t>
            </w:r>
            <w:r>
              <w:rPr>
                <w:rFonts w:hint="eastAsia" w:ascii="楷体" w:hAnsi="楷体" w:eastAsia="楷体" w:cs="楷体"/>
                <w:color w:val="auto"/>
                <w:sz w:val="20"/>
                <w:szCs w:val="20"/>
                <w:highlight w:val="none"/>
              </w:rPr>
              <w:t>本理财产品经苏银理财内部风险评级为</w:t>
            </w:r>
            <w:r>
              <w:rPr>
                <w:rFonts w:hint="eastAsia" w:ascii="楷体" w:hAnsi="楷体" w:eastAsia="楷体" w:cs="楷体"/>
                <w:b/>
                <w:color w:val="auto"/>
                <w:sz w:val="20"/>
                <w:szCs w:val="20"/>
                <w:highlight w:val="none"/>
                <w:u w:val="single"/>
                <w:lang w:val="en-US" w:eastAsia="zh-CN"/>
              </w:rPr>
              <w:t>★★二级，适合中低风险型投资者，适合投资策略为稳健发展的投资者</w:t>
            </w:r>
            <w:r>
              <w:rPr>
                <w:rFonts w:hint="eastAsia" w:ascii="楷体" w:hAnsi="楷体" w:eastAsia="楷体" w:cs="楷体"/>
                <w:color w:val="auto"/>
                <w:sz w:val="20"/>
                <w:szCs w:val="20"/>
                <w:highlight w:val="none"/>
              </w:rPr>
              <w:t>。本评级为管理人内部评级，由管理人根据理财产品的投资组合、同类产品过往业绩和风险状况等因素，对理财产品进行评级，仅供投资者参考。理财产品存续期间，若市场环境等因素发生变化，在符合监管政策要求的前提下管理人可对产品风险评级进行调整，并及时将调整情况向投资者披露。</w:t>
            </w:r>
          </w:p>
          <w:tbl>
            <w:tblPr>
              <w:tblStyle w:val="3"/>
              <w:tblW w:w="67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8"/>
              <w:gridCol w:w="1439"/>
              <w:gridCol w:w="2040"/>
              <w:gridCol w:w="16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558" w:type="dxa"/>
                  <w:noWrap w:val="0"/>
                  <w:vAlign w:val="center"/>
                </w:tcPr>
                <w:p>
                  <w:pPr>
                    <w:keepNext w:val="0"/>
                    <w:keepLines w:val="0"/>
                    <w:pageBreakBefore w:val="0"/>
                    <w:bidi w:val="0"/>
                    <w:spacing w:line="240" w:lineRule="auto"/>
                    <w:ind w:left="0" w:right="0" w:firstLine="0"/>
                    <w:jc w:val="center"/>
                    <w:rPr>
                      <w:rFonts w:hint="eastAsia" w:ascii="楷体" w:hAnsi="楷体" w:eastAsia="楷体" w:cs="楷体"/>
                      <w:color w:val="auto"/>
                      <w:sz w:val="20"/>
                      <w:szCs w:val="20"/>
                      <w:highlight w:val="none"/>
                    </w:rPr>
                  </w:pPr>
                  <w:r>
                    <w:rPr>
                      <w:rFonts w:hint="eastAsia" w:ascii="楷体" w:hAnsi="楷体" w:eastAsia="楷体" w:cs="楷体"/>
                      <w:color w:val="auto"/>
                      <w:sz w:val="20"/>
                      <w:szCs w:val="20"/>
                      <w:highlight w:val="none"/>
                    </w:rPr>
                    <w:t>风险星级</w:t>
                  </w:r>
                </w:p>
              </w:tc>
              <w:tc>
                <w:tcPr>
                  <w:tcW w:w="1439" w:type="dxa"/>
                  <w:noWrap w:val="0"/>
                  <w:vAlign w:val="center"/>
                </w:tcPr>
                <w:p>
                  <w:pPr>
                    <w:keepNext w:val="0"/>
                    <w:keepLines w:val="0"/>
                    <w:pageBreakBefore w:val="0"/>
                    <w:bidi w:val="0"/>
                    <w:spacing w:line="240" w:lineRule="auto"/>
                    <w:ind w:left="0" w:right="0" w:firstLine="0"/>
                    <w:jc w:val="center"/>
                    <w:rPr>
                      <w:rFonts w:hint="eastAsia" w:ascii="楷体" w:hAnsi="楷体" w:eastAsia="楷体" w:cs="楷体"/>
                      <w:color w:val="auto"/>
                      <w:sz w:val="20"/>
                      <w:szCs w:val="20"/>
                      <w:highlight w:val="none"/>
                    </w:rPr>
                  </w:pPr>
                  <w:r>
                    <w:rPr>
                      <w:rFonts w:hint="eastAsia" w:ascii="楷体" w:hAnsi="楷体" w:eastAsia="楷体" w:cs="楷体"/>
                      <w:color w:val="auto"/>
                      <w:sz w:val="20"/>
                      <w:szCs w:val="20"/>
                      <w:highlight w:val="none"/>
                    </w:rPr>
                    <w:t>风险级别</w:t>
                  </w:r>
                </w:p>
              </w:tc>
              <w:tc>
                <w:tcPr>
                  <w:tcW w:w="2040" w:type="dxa"/>
                  <w:noWrap w:val="0"/>
                  <w:vAlign w:val="center"/>
                </w:tcPr>
                <w:p>
                  <w:pPr>
                    <w:keepNext w:val="0"/>
                    <w:keepLines w:val="0"/>
                    <w:pageBreakBefore w:val="0"/>
                    <w:bidi w:val="0"/>
                    <w:spacing w:line="240" w:lineRule="auto"/>
                    <w:ind w:left="0" w:right="0" w:firstLine="0"/>
                    <w:jc w:val="center"/>
                    <w:rPr>
                      <w:rFonts w:hint="eastAsia" w:ascii="楷体" w:hAnsi="楷体" w:eastAsia="楷体" w:cs="楷体"/>
                      <w:color w:val="auto"/>
                      <w:sz w:val="20"/>
                      <w:szCs w:val="20"/>
                      <w:highlight w:val="none"/>
                    </w:rPr>
                  </w:pPr>
                  <w:r>
                    <w:rPr>
                      <w:rFonts w:hint="eastAsia" w:ascii="楷体" w:hAnsi="楷体" w:eastAsia="楷体" w:cs="楷体"/>
                      <w:color w:val="auto"/>
                      <w:sz w:val="20"/>
                      <w:szCs w:val="20"/>
                      <w:highlight w:val="none"/>
                    </w:rPr>
                    <w:t>适合的投资者类别</w:t>
                  </w:r>
                </w:p>
              </w:tc>
              <w:tc>
                <w:tcPr>
                  <w:tcW w:w="1680" w:type="dxa"/>
                  <w:noWrap w:val="0"/>
                  <w:vAlign w:val="center"/>
                </w:tcPr>
                <w:p>
                  <w:pPr>
                    <w:keepNext w:val="0"/>
                    <w:keepLines w:val="0"/>
                    <w:pageBreakBefore w:val="0"/>
                    <w:bidi w:val="0"/>
                    <w:spacing w:line="240" w:lineRule="auto"/>
                    <w:ind w:left="0" w:right="0" w:firstLine="0"/>
                    <w:jc w:val="center"/>
                    <w:rPr>
                      <w:rFonts w:hint="eastAsia" w:ascii="楷体" w:hAnsi="楷体" w:eastAsia="楷体" w:cs="楷体"/>
                      <w:color w:val="auto"/>
                      <w:sz w:val="20"/>
                      <w:szCs w:val="20"/>
                      <w:highlight w:val="none"/>
                    </w:rPr>
                  </w:pPr>
                  <w:r>
                    <w:rPr>
                      <w:rFonts w:hint="eastAsia" w:ascii="楷体" w:hAnsi="楷体" w:eastAsia="楷体" w:cs="楷体"/>
                      <w:color w:val="auto"/>
                      <w:sz w:val="20"/>
                      <w:szCs w:val="20"/>
                      <w:highlight w:val="none"/>
                    </w:rPr>
                    <w:t>适合投资策略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558" w:type="dxa"/>
                  <w:tcBorders>
                    <w:bottom w:val="single" w:color="auto" w:sz="4" w:space="0"/>
                  </w:tcBorders>
                  <w:noWrap w:val="0"/>
                  <w:vAlign w:val="center"/>
                </w:tcPr>
                <w:p>
                  <w:pPr>
                    <w:keepNext w:val="0"/>
                    <w:keepLines w:val="0"/>
                    <w:pageBreakBefore w:val="0"/>
                    <w:bidi w:val="0"/>
                    <w:spacing w:line="240" w:lineRule="auto"/>
                    <w:ind w:left="0" w:right="0" w:firstLine="0"/>
                    <w:jc w:val="center"/>
                    <w:rPr>
                      <w:rFonts w:hint="eastAsia" w:ascii="楷体" w:hAnsi="楷体" w:eastAsia="楷体" w:cs="楷体"/>
                      <w:color w:val="auto"/>
                      <w:sz w:val="20"/>
                      <w:szCs w:val="20"/>
                      <w:highlight w:val="none"/>
                    </w:rPr>
                  </w:pPr>
                  <w:r>
                    <w:rPr>
                      <w:rFonts w:hint="eastAsia" w:ascii="楷体" w:hAnsi="楷体" w:eastAsia="楷体" w:cs="楷体"/>
                      <w:color w:val="auto"/>
                      <w:sz w:val="20"/>
                      <w:szCs w:val="20"/>
                      <w:highlight w:val="none"/>
                    </w:rPr>
                    <w:t>★</w:t>
                  </w:r>
                </w:p>
              </w:tc>
              <w:tc>
                <w:tcPr>
                  <w:tcW w:w="1439" w:type="dxa"/>
                  <w:tcBorders>
                    <w:bottom w:val="single" w:color="auto" w:sz="4" w:space="0"/>
                  </w:tcBorders>
                  <w:noWrap w:val="0"/>
                  <w:vAlign w:val="center"/>
                </w:tcPr>
                <w:p>
                  <w:pPr>
                    <w:keepNext w:val="0"/>
                    <w:keepLines w:val="0"/>
                    <w:pageBreakBefore w:val="0"/>
                    <w:bidi w:val="0"/>
                    <w:spacing w:line="240" w:lineRule="auto"/>
                    <w:ind w:left="0" w:right="0" w:firstLine="0"/>
                    <w:jc w:val="center"/>
                    <w:rPr>
                      <w:rFonts w:hint="eastAsia" w:ascii="楷体" w:hAnsi="楷体" w:eastAsia="楷体" w:cs="楷体"/>
                      <w:color w:val="auto"/>
                      <w:sz w:val="20"/>
                      <w:szCs w:val="20"/>
                      <w:highlight w:val="none"/>
                    </w:rPr>
                  </w:pPr>
                  <w:r>
                    <w:rPr>
                      <w:rFonts w:hint="eastAsia" w:ascii="楷体" w:hAnsi="楷体" w:eastAsia="楷体" w:cs="楷体"/>
                      <w:color w:val="auto"/>
                      <w:sz w:val="20"/>
                      <w:szCs w:val="20"/>
                      <w:highlight w:val="none"/>
                    </w:rPr>
                    <w:t>一级（PR1）</w:t>
                  </w:r>
                </w:p>
              </w:tc>
              <w:tc>
                <w:tcPr>
                  <w:tcW w:w="2040" w:type="dxa"/>
                  <w:tcBorders>
                    <w:bottom w:val="single" w:color="auto" w:sz="4" w:space="0"/>
                  </w:tcBorders>
                  <w:noWrap w:val="0"/>
                  <w:vAlign w:val="center"/>
                </w:tcPr>
                <w:p>
                  <w:pPr>
                    <w:keepNext w:val="0"/>
                    <w:keepLines w:val="0"/>
                    <w:pageBreakBefore w:val="0"/>
                    <w:bidi w:val="0"/>
                    <w:spacing w:line="240" w:lineRule="auto"/>
                    <w:ind w:left="0" w:right="0" w:firstLine="0"/>
                    <w:jc w:val="center"/>
                    <w:rPr>
                      <w:rFonts w:hint="eastAsia" w:ascii="楷体" w:hAnsi="楷体" w:eastAsia="楷体" w:cs="楷体"/>
                      <w:color w:val="auto"/>
                      <w:sz w:val="20"/>
                      <w:szCs w:val="20"/>
                      <w:highlight w:val="none"/>
                    </w:rPr>
                  </w:pPr>
                  <w:r>
                    <w:rPr>
                      <w:rFonts w:hint="eastAsia" w:ascii="楷体" w:hAnsi="楷体" w:eastAsia="楷体" w:cs="楷体"/>
                      <w:color w:val="auto"/>
                      <w:sz w:val="20"/>
                      <w:szCs w:val="20"/>
                      <w:highlight w:val="none"/>
                    </w:rPr>
                    <w:t>低风险型</w:t>
                  </w:r>
                </w:p>
              </w:tc>
              <w:tc>
                <w:tcPr>
                  <w:tcW w:w="1680" w:type="dxa"/>
                  <w:tcBorders>
                    <w:bottom w:val="single" w:color="auto" w:sz="4" w:space="0"/>
                  </w:tcBorders>
                  <w:noWrap w:val="0"/>
                  <w:vAlign w:val="center"/>
                </w:tcPr>
                <w:p>
                  <w:pPr>
                    <w:keepNext w:val="0"/>
                    <w:keepLines w:val="0"/>
                    <w:pageBreakBefore w:val="0"/>
                    <w:bidi w:val="0"/>
                    <w:spacing w:line="240" w:lineRule="auto"/>
                    <w:ind w:left="0" w:right="0" w:firstLine="0"/>
                    <w:jc w:val="center"/>
                    <w:rPr>
                      <w:rFonts w:hint="eastAsia" w:ascii="楷体" w:hAnsi="楷体" w:eastAsia="楷体" w:cs="楷体"/>
                      <w:color w:val="auto"/>
                      <w:sz w:val="20"/>
                      <w:szCs w:val="20"/>
                      <w:highlight w:val="none"/>
                    </w:rPr>
                  </w:pPr>
                  <w:r>
                    <w:rPr>
                      <w:rFonts w:hint="eastAsia" w:ascii="楷体" w:hAnsi="楷体" w:eastAsia="楷体" w:cs="楷体"/>
                      <w:color w:val="auto"/>
                      <w:sz w:val="20"/>
                      <w:szCs w:val="20"/>
                      <w:highlight w:val="none"/>
                    </w:rPr>
                    <w:t>风险控制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558" w:type="dxa"/>
                  <w:noWrap w:val="0"/>
                  <w:vAlign w:val="center"/>
                </w:tcPr>
                <w:p>
                  <w:pPr>
                    <w:keepNext w:val="0"/>
                    <w:keepLines w:val="0"/>
                    <w:pageBreakBefore w:val="0"/>
                    <w:bidi w:val="0"/>
                    <w:spacing w:line="240" w:lineRule="auto"/>
                    <w:ind w:left="0" w:right="0" w:firstLine="0"/>
                    <w:jc w:val="center"/>
                    <w:rPr>
                      <w:rFonts w:hint="eastAsia" w:ascii="楷体" w:hAnsi="楷体" w:eastAsia="楷体" w:cs="楷体"/>
                      <w:b w:val="0"/>
                      <w:bCs/>
                      <w:color w:val="auto"/>
                      <w:sz w:val="20"/>
                      <w:szCs w:val="20"/>
                      <w:highlight w:val="none"/>
                    </w:rPr>
                  </w:pPr>
                  <w:r>
                    <w:rPr>
                      <w:rFonts w:hint="eastAsia" w:ascii="楷体" w:hAnsi="楷体" w:eastAsia="楷体" w:cs="楷体"/>
                      <w:b w:val="0"/>
                      <w:bCs/>
                      <w:color w:val="auto"/>
                      <w:sz w:val="20"/>
                      <w:szCs w:val="20"/>
                      <w:highlight w:val="none"/>
                    </w:rPr>
                    <w:t>★★</w:t>
                  </w:r>
                </w:p>
              </w:tc>
              <w:tc>
                <w:tcPr>
                  <w:tcW w:w="1439" w:type="dxa"/>
                  <w:noWrap w:val="0"/>
                  <w:vAlign w:val="center"/>
                </w:tcPr>
                <w:p>
                  <w:pPr>
                    <w:keepNext w:val="0"/>
                    <w:keepLines w:val="0"/>
                    <w:pageBreakBefore w:val="0"/>
                    <w:bidi w:val="0"/>
                    <w:spacing w:line="240" w:lineRule="auto"/>
                    <w:ind w:left="0" w:right="0" w:firstLine="0"/>
                    <w:jc w:val="center"/>
                    <w:rPr>
                      <w:rFonts w:hint="eastAsia" w:ascii="楷体" w:hAnsi="楷体" w:eastAsia="楷体" w:cs="楷体"/>
                      <w:b w:val="0"/>
                      <w:bCs/>
                      <w:color w:val="auto"/>
                      <w:sz w:val="20"/>
                      <w:szCs w:val="20"/>
                      <w:highlight w:val="none"/>
                    </w:rPr>
                  </w:pPr>
                  <w:r>
                    <w:rPr>
                      <w:rFonts w:hint="eastAsia" w:ascii="楷体" w:hAnsi="楷体" w:eastAsia="楷体" w:cs="楷体"/>
                      <w:b w:val="0"/>
                      <w:bCs/>
                      <w:color w:val="auto"/>
                      <w:sz w:val="20"/>
                      <w:szCs w:val="20"/>
                      <w:highlight w:val="none"/>
                    </w:rPr>
                    <w:t>二级（PR2）</w:t>
                  </w:r>
                </w:p>
              </w:tc>
              <w:tc>
                <w:tcPr>
                  <w:tcW w:w="2040" w:type="dxa"/>
                  <w:noWrap w:val="0"/>
                  <w:vAlign w:val="center"/>
                </w:tcPr>
                <w:p>
                  <w:pPr>
                    <w:keepNext w:val="0"/>
                    <w:keepLines w:val="0"/>
                    <w:pageBreakBefore w:val="0"/>
                    <w:bidi w:val="0"/>
                    <w:spacing w:line="240" w:lineRule="auto"/>
                    <w:ind w:left="0" w:right="0" w:firstLine="0"/>
                    <w:jc w:val="center"/>
                    <w:rPr>
                      <w:rFonts w:hint="eastAsia" w:ascii="楷体" w:hAnsi="楷体" w:eastAsia="楷体" w:cs="楷体"/>
                      <w:b w:val="0"/>
                      <w:bCs/>
                      <w:color w:val="auto"/>
                      <w:sz w:val="20"/>
                      <w:szCs w:val="20"/>
                      <w:highlight w:val="none"/>
                    </w:rPr>
                  </w:pPr>
                  <w:r>
                    <w:rPr>
                      <w:rFonts w:hint="eastAsia" w:ascii="楷体" w:hAnsi="楷体" w:eastAsia="楷体" w:cs="楷体"/>
                      <w:b w:val="0"/>
                      <w:bCs/>
                      <w:color w:val="auto"/>
                      <w:sz w:val="20"/>
                      <w:szCs w:val="20"/>
                      <w:highlight w:val="none"/>
                    </w:rPr>
                    <w:t>中低风险型</w:t>
                  </w:r>
                </w:p>
              </w:tc>
              <w:tc>
                <w:tcPr>
                  <w:tcW w:w="1680" w:type="dxa"/>
                  <w:noWrap w:val="0"/>
                  <w:vAlign w:val="center"/>
                </w:tcPr>
                <w:p>
                  <w:pPr>
                    <w:keepNext w:val="0"/>
                    <w:keepLines w:val="0"/>
                    <w:pageBreakBefore w:val="0"/>
                    <w:bidi w:val="0"/>
                    <w:spacing w:line="240" w:lineRule="auto"/>
                    <w:ind w:left="0" w:right="0" w:firstLine="0"/>
                    <w:jc w:val="center"/>
                    <w:rPr>
                      <w:rFonts w:hint="eastAsia" w:ascii="楷体" w:hAnsi="楷体" w:eastAsia="楷体" w:cs="楷体"/>
                      <w:b w:val="0"/>
                      <w:bCs/>
                      <w:color w:val="auto"/>
                      <w:sz w:val="20"/>
                      <w:szCs w:val="20"/>
                      <w:highlight w:val="none"/>
                    </w:rPr>
                  </w:pPr>
                  <w:r>
                    <w:rPr>
                      <w:rFonts w:hint="eastAsia" w:ascii="楷体" w:hAnsi="楷体" w:eastAsia="楷体" w:cs="楷体"/>
                      <w:b w:val="0"/>
                      <w:bCs/>
                      <w:color w:val="auto"/>
                      <w:sz w:val="20"/>
                      <w:szCs w:val="20"/>
                      <w:highlight w:val="none"/>
                    </w:rPr>
                    <w:t>稳健发展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558" w:type="dxa"/>
                  <w:noWrap w:val="0"/>
                  <w:vAlign w:val="center"/>
                </w:tcPr>
                <w:p>
                  <w:pPr>
                    <w:keepNext w:val="0"/>
                    <w:keepLines w:val="0"/>
                    <w:pageBreakBefore w:val="0"/>
                    <w:bidi w:val="0"/>
                    <w:spacing w:line="240" w:lineRule="auto"/>
                    <w:ind w:left="0" w:right="0" w:firstLine="0"/>
                    <w:jc w:val="center"/>
                    <w:rPr>
                      <w:rFonts w:hint="eastAsia" w:ascii="楷体" w:hAnsi="楷体" w:eastAsia="楷体" w:cs="楷体"/>
                      <w:color w:val="auto"/>
                      <w:sz w:val="20"/>
                      <w:szCs w:val="20"/>
                      <w:highlight w:val="none"/>
                    </w:rPr>
                  </w:pPr>
                  <w:r>
                    <w:rPr>
                      <w:rFonts w:hint="eastAsia" w:ascii="楷体" w:hAnsi="楷体" w:eastAsia="楷体" w:cs="楷体"/>
                      <w:color w:val="auto"/>
                      <w:sz w:val="20"/>
                      <w:szCs w:val="20"/>
                      <w:highlight w:val="none"/>
                    </w:rPr>
                    <w:t>★★★</w:t>
                  </w:r>
                </w:p>
              </w:tc>
              <w:tc>
                <w:tcPr>
                  <w:tcW w:w="1439" w:type="dxa"/>
                  <w:noWrap w:val="0"/>
                  <w:vAlign w:val="center"/>
                </w:tcPr>
                <w:p>
                  <w:pPr>
                    <w:keepNext w:val="0"/>
                    <w:keepLines w:val="0"/>
                    <w:pageBreakBefore w:val="0"/>
                    <w:bidi w:val="0"/>
                    <w:spacing w:line="240" w:lineRule="auto"/>
                    <w:ind w:left="0" w:right="0" w:firstLine="0"/>
                    <w:jc w:val="center"/>
                    <w:rPr>
                      <w:rFonts w:hint="eastAsia" w:ascii="楷体" w:hAnsi="楷体" w:eastAsia="楷体" w:cs="楷体"/>
                      <w:color w:val="auto"/>
                      <w:sz w:val="20"/>
                      <w:szCs w:val="20"/>
                      <w:highlight w:val="none"/>
                    </w:rPr>
                  </w:pPr>
                  <w:r>
                    <w:rPr>
                      <w:rFonts w:hint="eastAsia" w:ascii="楷体" w:hAnsi="楷体" w:eastAsia="楷体" w:cs="楷体"/>
                      <w:color w:val="auto"/>
                      <w:sz w:val="20"/>
                      <w:szCs w:val="20"/>
                      <w:highlight w:val="none"/>
                    </w:rPr>
                    <w:t>三级（PR3）</w:t>
                  </w:r>
                </w:p>
              </w:tc>
              <w:tc>
                <w:tcPr>
                  <w:tcW w:w="2040" w:type="dxa"/>
                  <w:noWrap w:val="0"/>
                  <w:vAlign w:val="center"/>
                </w:tcPr>
                <w:p>
                  <w:pPr>
                    <w:keepNext w:val="0"/>
                    <w:keepLines w:val="0"/>
                    <w:pageBreakBefore w:val="0"/>
                    <w:bidi w:val="0"/>
                    <w:spacing w:line="240" w:lineRule="auto"/>
                    <w:ind w:left="0" w:right="0" w:firstLine="0"/>
                    <w:jc w:val="center"/>
                    <w:rPr>
                      <w:rFonts w:hint="eastAsia" w:ascii="楷体" w:hAnsi="楷体" w:eastAsia="楷体" w:cs="楷体"/>
                      <w:color w:val="auto"/>
                      <w:sz w:val="20"/>
                      <w:szCs w:val="20"/>
                      <w:highlight w:val="none"/>
                    </w:rPr>
                  </w:pPr>
                  <w:r>
                    <w:rPr>
                      <w:rFonts w:hint="eastAsia" w:ascii="楷体" w:hAnsi="楷体" w:eastAsia="楷体" w:cs="楷体"/>
                      <w:color w:val="auto"/>
                      <w:sz w:val="20"/>
                      <w:szCs w:val="20"/>
                      <w:highlight w:val="none"/>
                    </w:rPr>
                    <w:t>中风险型</w:t>
                  </w:r>
                </w:p>
              </w:tc>
              <w:tc>
                <w:tcPr>
                  <w:tcW w:w="1680" w:type="dxa"/>
                  <w:noWrap w:val="0"/>
                  <w:vAlign w:val="center"/>
                </w:tcPr>
                <w:p>
                  <w:pPr>
                    <w:keepNext w:val="0"/>
                    <w:keepLines w:val="0"/>
                    <w:pageBreakBefore w:val="0"/>
                    <w:bidi w:val="0"/>
                    <w:spacing w:line="240" w:lineRule="auto"/>
                    <w:ind w:left="0" w:right="0" w:firstLine="0"/>
                    <w:jc w:val="center"/>
                    <w:rPr>
                      <w:rFonts w:hint="eastAsia" w:ascii="楷体" w:hAnsi="楷体" w:eastAsia="楷体" w:cs="楷体"/>
                      <w:color w:val="auto"/>
                      <w:sz w:val="20"/>
                      <w:szCs w:val="20"/>
                      <w:highlight w:val="none"/>
                    </w:rPr>
                  </w:pPr>
                  <w:r>
                    <w:rPr>
                      <w:rFonts w:hint="eastAsia" w:ascii="楷体" w:hAnsi="楷体" w:eastAsia="楷体" w:cs="楷体"/>
                      <w:color w:val="auto"/>
                      <w:sz w:val="20"/>
                      <w:szCs w:val="20"/>
                      <w:highlight w:val="none"/>
                    </w:rPr>
                    <w:t>均衡发展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558" w:type="dxa"/>
                  <w:noWrap w:val="0"/>
                  <w:vAlign w:val="center"/>
                </w:tcPr>
                <w:p>
                  <w:pPr>
                    <w:keepNext w:val="0"/>
                    <w:keepLines w:val="0"/>
                    <w:pageBreakBefore w:val="0"/>
                    <w:bidi w:val="0"/>
                    <w:spacing w:line="240" w:lineRule="auto"/>
                    <w:ind w:left="0" w:right="0" w:firstLine="0"/>
                    <w:jc w:val="center"/>
                    <w:rPr>
                      <w:rFonts w:hint="eastAsia" w:ascii="楷体" w:hAnsi="楷体" w:eastAsia="楷体" w:cs="楷体"/>
                      <w:color w:val="auto"/>
                      <w:sz w:val="20"/>
                      <w:szCs w:val="20"/>
                      <w:highlight w:val="none"/>
                    </w:rPr>
                  </w:pPr>
                  <w:r>
                    <w:rPr>
                      <w:rFonts w:hint="eastAsia" w:ascii="楷体" w:hAnsi="楷体" w:eastAsia="楷体" w:cs="楷体"/>
                      <w:color w:val="auto"/>
                      <w:sz w:val="20"/>
                      <w:szCs w:val="20"/>
                      <w:highlight w:val="none"/>
                    </w:rPr>
                    <w:t>★★★★</w:t>
                  </w:r>
                </w:p>
              </w:tc>
              <w:tc>
                <w:tcPr>
                  <w:tcW w:w="1439" w:type="dxa"/>
                  <w:noWrap w:val="0"/>
                  <w:vAlign w:val="center"/>
                </w:tcPr>
                <w:p>
                  <w:pPr>
                    <w:keepNext w:val="0"/>
                    <w:keepLines w:val="0"/>
                    <w:pageBreakBefore w:val="0"/>
                    <w:bidi w:val="0"/>
                    <w:spacing w:line="240" w:lineRule="auto"/>
                    <w:ind w:left="0" w:right="0" w:firstLine="0"/>
                    <w:jc w:val="center"/>
                    <w:rPr>
                      <w:rFonts w:hint="eastAsia" w:ascii="楷体" w:hAnsi="楷体" w:eastAsia="楷体" w:cs="楷体"/>
                      <w:color w:val="auto"/>
                      <w:sz w:val="20"/>
                      <w:szCs w:val="20"/>
                      <w:highlight w:val="none"/>
                    </w:rPr>
                  </w:pPr>
                  <w:r>
                    <w:rPr>
                      <w:rFonts w:hint="eastAsia" w:ascii="楷体" w:hAnsi="楷体" w:eastAsia="楷体" w:cs="楷体"/>
                      <w:color w:val="auto"/>
                      <w:sz w:val="20"/>
                      <w:szCs w:val="20"/>
                      <w:highlight w:val="none"/>
                    </w:rPr>
                    <w:t>四级（PR4）</w:t>
                  </w:r>
                </w:p>
              </w:tc>
              <w:tc>
                <w:tcPr>
                  <w:tcW w:w="2040" w:type="dxa"/>
                  <w:noWrap w:val="0"/>
                  <w:vAlign w:val="center"/>
                </w:tcPr>
                <w:p>
                  <w:pPr>
                    <w:keepNext w:val="0"/>
                    <w:keepLines w:val="0"/>
                    <w:pageBreakBefore w:val="0"/>
                    <w:bidi w:val="0"/>
                    <w:spacing w:line="240" w:lineRule="auto"/>
                    <w:ind w:left="0" w:right="0" w:firstLine="0"/>
                    <w:jc w:val="center"/>
                    <w:rPr>
                      <w:rFonts w:hint="eastAsia" w:ascii="楷体" w:hAnsi="楷体" w:eastAsia="楷体" w:cs="楷体"/>
                      <w:color w:val="auto"/>
                      <w:sz w:val="20"/>
                      <w:szCs w:val="20"/>
                      <w:highlight w:val="none"/>
                    </w:rPr>
                  </w:pPr>
                  <w:r>
                    <w:rPr>
                      <w:rFonts w:hint="eastAsia" w:ascii="楷体" w:hAnsi="楷体" w:eastAsia="楷体" w:cs="楷体"/>
                      <w:color w:val="auto"/>
                      <w:sz w:val="20"/>
                      <w:szCs w:val="20"/>
                      <w:highlight w:val="none"/>
                    </w:rPr>
                    <w:t>中高风险型</w:t>
                  </w:r>
                </w:p>
              </w:tc>
              <w:tc>
                <w:tcPr>
                  <w:tcW w:w="1680" w:type="dxa"/>
                  <w:noWrap w:val="0"/>
                  <w:vAlign w:val="center"/>
                </w:tcPr>
                <w:p>
                  <w:pPr>
                    <w:keepNext w:val="0"/>
                    <w:keepLines w:val="0"/>
                    <w:pageBreakBefore w:val="0"/>
                    <w:bidi w:val="0"/>
                    <w:spacing w:line="240" w:lineRule="auto"/>
                    <w:ind w:left="0" w:right="0" w:firstLine="0"/>
                    <w:jc w:val="center"/>
                    <w:rPr>
                      <w:rFonts w:hint="eastAsia" w:ascii="楷体" w:hAnsi="楷体" w:eastAsia="楷体" w:cs="楷体"/>
                      <w:color w:val="auto"/>
                      <w:sz w:val="20"/>
                      <w:szCs w:val="20"/>
                      <w:highlight w:val="none"/>
                    </w:rPr>
                  </w:pPr>
                  <w:r>
                    <w:rPr>
                      <w:rFonts w:hint="eastAsia" w:ascii="楷体" w:hAnsi="楷体" w:eastAsia="楷体" w:cs="楷体"/>
                      <w:color w:val="auto"/>
                      <w:sz w:val="20"/>
                      <w:szCs w:val="20"/>
                      <w:highlight w:val="none"/>
                    </w:rPr>
                    <w:t>积极成长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558" w:type="dxa"/>
                  <w:noWrap w:val="0"/>
                  <w:vAlign w:val="center"/>
                </w:tcPr>
                <w:p>
                  <w:pPr>
                    <w:keepNext w:val="0"/>
                    <w:keepLines w:val="0"/>
                    <w:pageBreakBefore w:val="0"/>
                    <w:bidi w:val="0"/>
                    <w:spacing w:line="240" w:lineRule="auto"/>
                    <w:ind w:left="0" w:right="0" w:firstLine="0"/>
                    <w:jc w:val="center"/>
                    <w:rPr>
                      <w:rFonts w:hint="eastAsia" w:ascii="楷体" w:hAnsi="楷体" w:eastAsia="楷体" w:cs="楷体"/>
                      <w:color w:val="auto"/>
                      <w:sz w:val="20"/>
                      <w:szCs w:val="20"/>
                      <w:highlight w:val="none"/>
                    </w:rPr>
                  </w:pPr>
                  <w:r>
                    <w:rPr>
                      <w:rFonts w:hint="eastAsia" w:ascii="楷体" w:hAnsi="楷体" w:eastAsia="楷体" w:cs="楷体"/>
                      <w:color w:val="auto"/>
                      <w:sz w:val="20"/>
                      <w:szCs w:val="20"/>
                      <w:highlight w:val="none"/>
                    </w:rPr>
                    <w:t>★★★★★</w:t>
                  </w:r>
                </w:p>
              </w:tc>
              <w:tc>
                <w:tcPr>
                  <w:tcW w:w="1439" w:type="dxa"/>
                  <w:noWrap w:val="0"/>
                  <w:vAlign w:val="center"/>
                </w:tcPr>
                <w:p>
                  <w:pPr>
                    <w:keepNext w:val="0"/>
                    <w:keepLines w:val="0"/>
                    <w:pageBreakBefore w:val="0"/>
                    <w:bidi w:val="0"/>
                    <w:spacing w:line="240" w:lineRule="auto"/>
                    <w:ind w:left="0" w:right="0" w:firstLine="0"/>
                    <w:jc w:val="center"/>
                    <w:rPr>
                      <w:rFonts w:hint="eastAsia" w:ascii="楷体" w:hAnsi="楷体" w:eastAsia="楷体" w:cs="楷体"/>
                      <w:color w:val="auto"/>
                      <w:sz w:val="20"/>
                      <w:szCs w:val="20"/>
                      <w:highlight w:val="none"/>
                    </w:rPr>
                  </w:pPr>
                  <w:r>
                    <w:rPr>
                      <w:rFonts w:hint="eastAsia" w:ascii="楷体" w:hAnsi="楷体" w:eastAsia="楷体" w:cs="楷体"/>
                      <w:color w:val="auto"/>
                      <w:sz w:val="20"/>
                      <w:szCs w:val="20"/>
                      <w:highlight w:val="none"/>
                    </w:rPr>
                    <w:t>五级（PR5）</w:t>
                  </w:r>
                </w:p>
              </w:tc>
              <w:tc>
                <w:tcPr>
                  <w:tcW w:w="2040" w:type="dxa"/>
                  <w:noWrap w:val="0"/>
                  <w:vAlign w:val="center"/>
                </w:tcPr>
                <w:p>
                  <w:pPr>
                    <w:keepNext w:val="0"/>
                    <w:keepLines w:val="0"/>
                    <w:pageBreakBefore w:val="0"/>
                    <w:bidi w:val="0"/>
                    <w:spacing w:line="240" w:lineRule="auto"/>
                    <w:ind w:left="0" w:right="0" w:firstLine="0"/>
                    <w:jc w:val="center"/>
                    <w:rPr>
                      <w:rFonts w:hint="eastAsia" w:ascii="楷体" w:hAnsi="楷体" w:eastAsia="楷体" w:cs="楷体"/>
                      <w:color w:val="auto"/>
                      <w:sz w:val="20"/>
                      <w:szCs w:val="20"/>
                      <w:highlight w:val="none"/>
                    </w:rPr>
                  </w:pPr>
                  <w:r>
                    <w:rPr>
                      <w:rFonts w:hint="eastAsia" w:ascii="楷体" w:hAnsi="楷体" w:eastAsia="楷体" w:cs="楷体"/>
                      <w:color w:val="auto"/>
                      <w:sz w:val="20"/>
                      <w:szCs w:val="20"/>
                      <w:highlight w:val="none"/>
                    </w:rPr>
                    <w:t>高风险型</w:t>
                  </w:r>
                </w:p>
              </w:tc>
              <w:tc>
                <w:tcPr>
                  <w:tcW w:w="1680" w:type="dxa"/>
                  <w:noWrap w:val="0"/>
                  <w:vAlign w:val="center"/>
                </w:tcPr>
                <w:p>
                  <w:pPr>
                    <w:keepNext w:val="0"/>
                    <w:keepLines w:val="0"/>
                    <w:pageBreakBefore w:val="0"/>
                    <w:bidi w:val="0"/>
                    <w:spacing w:line="240" w:lineRule="auto"/>
                    <w:ind w:left="0" w:right="0" w:firstLine="0"/>
                    <w:jc w:val="center"/>
                    <w:rPr>
                      <w:rFonts w:hint="eastAsia" w:ascii="楷体" w:hAnsi="楷体" w:eastAsia="楷体" w:cs="楷体"/>
                      <w:color w:val="auto"/>
                      <w:sz w:val="20"/>
                      <w:szCs w:val="20"/>
                      <w:highlight w:val="none"/>
                    </w:rPr>
                  </w:pPr>
                  <w:r>
                    <w:rPr>
                      <w:rFonts w:hint="eastAsia" w:ascii="楷体" w:hAnsi="楷体" w:eastAsia="楷体" w:cs="楷体"/>
                      <w:color w:val="auto"/>
                      <w:sz w:val="20"/>
                      <w:szCs w:val="20"/>
                      <w:highlight w:val="none"/>
                    </w:rPr>
                    <w:t>风险承受</w:t>
                  </w:r>
                </w:p>
              </w:tc>
            </w:tr>
          </w:tbl>
          <w:p>
            <w:pPr>
              <w:keepNext w:val="0"/>
              <w:keepLines w:val="0"/>
              <w:pageBreakBefore w:val="0"/>
              <w:numPr>
                <w:ilvl w:val="0"/>
                <w:numId w:val="0"/>
              </w:numPr>
              <w:bidi w:val="0"/>
              <w:spacing w:line="240" w:lineRule="auto"/>
              <w:ind w:left="0" w:right="0" w:firstLine="0"/>
              <w:rPr>
                <w:rFonts w:hint="eastAsia" w:ascii="楷体" w:hAnsi="楷体" w:eastAsia="楷体" w:cs="楷体"/>
                <w:b/>
                <w:sz w:val="20"/>
                <w:szCs w:val="20"/>
                <w:highlight w:val="none"/>
                <w:u w:val="single"/>
              </w:rPr>
            </w:pPr>
            <w:r>
              <w:rPr>
                <w:rFonts w:hint="eastAsia" w:ascii="楷体" w:hAnsi="楷体" w:eastAsia="楷体" w:cs="楷体"/>
                <w:sz w:val="20"/>
                <w:szCs w:val="20"/>
                <w:highlight w:val="none"/>
                <w:lang w:val="en-US" w:eastAsia="zh-CN"/>
              </w:rPr>
              <w:t>2.</w:t>
            </w:r>
            <w:r>
              <w:rPr>
                <w:rFonts w:hint="eastAsia" w:ascii="楷体" w:hAnsi="楷体" w:eastAsia="楷体" w:cs="楷体"/>
                <w:sz w:val="20"/>
                <w:szCs w:val="20"/>
                <w:highlight w:val="none"/>
              </w:rPr>
              <w:t>如本产品通过代理销售机构渠道销售，代理销售机构应当根据本机构的方式和方法，依据理财产品的投资组合、同类产品过往业绩和风险状况等因素，独立、审慎地对代理销售的理财产品进行销售评级，并向苏银理财及时、准确提供本机构销售评级结果等信息。销售评级与苏银理财产品评级结果不一致的，代理销售机构应当采用对应较高风险等级的评级结果并予以披露。</w:t>
            </w:r>
          </w:p>
          <w:p>
            <w:pPr>
              <w:keepNext w:val="0"/>
              <w:keepLines w:val="0"/>
              <w:pageBreakBefore w:val="0"/>
              <w:widowControl/>
              <w:bidi w:val="0"/>
              <w:spacing w:line="240" w:lineRule="auto"/>
              <w:ind w:left="0" w:right="0"/>
              <w:jc w:val="both"/>
              <w:rPr>
                <w:rFonts w:hint="eastAsia" w:ascii="楷体" w:hAnsi="楷体" w:eastAsia="楷体" w:cs="楷体"/>
                <w:bCs/>
                <w:color w:val="000000" w:themeColor="text1"/>
                <w:sz w:val="20"/>
                <w:szCs w:val="20"/>
                <w:highlight w:val="none"/>
                <w14:textFill>
                  <w14:solidFill>
                    <w14:schemeClr w14:val="tx1"/>
                  </w14:solidFill>
                </w14:textFill>
              </w:rPr>
            </w:pPr>
            <w:r>
              <w:rPr>
                <w:rFonts w:hint="eastAsia" w:ascii="楷体" w:hAnsi="楷体" w:eastAsia="楷体" w:cs="楷体"/>
                <w:bCs/>
                <w:color w:val="000000" w:themeColor="text1"/>
                <w:sz w:val="20"/>
                <w:szCs w:val="20"/>
                <w:highlight w:val="none"/>
                <w:lang w:val="en-US" w:eastAsia="zh-CN"/>
                <w14:textFill>
                  <w14:solidFill>
                    <w14:schemeClr w14:val="tx1"/>
                  </w14:solidFill>
                </w14:textFill>
              </w:rPr>
              <w:t>3.</w:t>
            </w:r>
            <w:r>
              <w:rPr>
                <w:rFonts w:hint="eastAsia" w:ascii="楷体" w:hAnsi="楷体" w:eastAsia="楷体" w:cs="楷体"/>
                <w:bCs/>
                <w:color w:val="000000" w:themeColor="text1"/>
                <w:sz w:val="20"/>
                <w:szCs w:val="20"/>
                <w:highlight w:val="none"/>
                <w14:textFill>
                  <w14:solidFill>
                    <w14:schemeClr w14:val="tx1"/>
                  </w14:solidFill>
                </w14:textFill>
              </w:rPr>
              <w:t>销售机构负责完成投资者风险承受能力评估，并在遵循投资者适当性原则的前提下进行本理财产品的销售活动。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178" w:type="dxa"/>
            <w:noWrap w:val="0"/>
            <w:vAlign w:val="center"/>
          </w:tcPr>
          <w:p>
            <w:pPr>
              <w:keepNext w:val="0"/>
              <w:keepLines w:val="0"/>
              <w:pageBreakBefore w:val="0"/>
              <w:widowControl/>
              <w:bidi w:val="0"/>
              <w:spacing w:line="240" w:lineRule="auto"/>
              <w:jc w:val="center"/>
              <w:rPr>
                <w:rFonts w:hint="eastAsia" w:ascii="楷体" w:hAnsi="楷体" w:eastAsia="楷体" w:cs="楷体"/>
                <w:b/>
                <w:bCs/>
                <w:color w:val="000000" w:themeColor="text1"/>
                <w:sz w:val="20"/>
                <w:szCs w:val="20"/>
                <w:highlight w:val="none"/>
                <w14:textFill>
                  <w14:solidFill>
                    <w14:schemeClr w14:val="tx1"/>
                  </w14:solidFill>
                </w14:textFill>
              </w:rPr>
            </w:pPr>
            <w:r>
              <w:rPr>
                <w:rFonts w:hint="eastAsia" w:ascii="楷体" w:hAnsi="楷体" w:eastAsia="楷体" w:cs="楷体"/>
                <w:b/>
                <w:bCs/>
                <w:color w:val="000000" w:themeColor="text1"/>
                <w:sz w:val="20"/>
                <w:szCs w:val="20"/>
                <w:highlight w:val="none"/>
                <w14:textFill>
                  <w14:solidFill>
                    <w14:schemeClr w14:val="tx1"/>
                  </w14:solidFill>
                </w14:textFill>
              </w:rPr>
              <w:t>是否为现金管理类产品</w:t>
            </w:r>
          </w:p>
        </w:tc>
        <w:tc>
          <w:tcPr>
            <w:tcW w:w="7478" w:type="dxa"/>
            <w:noWrap w:val="0"/>
            <w:vAlign w:val="center"/>
          </w:tcPr>
          <w:p>
            <w:pPr>
              <w:keepNext w:val="0"/>
              <w:keepLines w:val="0"/>
              <w:pageBreakBefore w:val="0"/>
              <w:widowControl/>
              <w:bidi w:val="0"/>
              <w:spacing w:line="240" w:lineRule="auto"/>
              <w:jc w:val="left"/>
              <w:rPr>
                <w:rFonts w:hint="eastAsia" w:ascii="楷体" w:hAnsi="楷体" w:eastAsia="楷体" w:cs="楷体"/>
                <w:bCs/>
                <w:color w:val="000000" w:themeColor="text1"/>
                <w:sz w:val="20"/>
                <w:szCs w:val="20"/>
                <w:highlight w:val="none"/>
                <w:lang w:val="en-US" w:eastAsia="zh-CN"/>
                <w14:textFill>
                  <w14:solidFill>
                    <w14:schemeClr w14:val="tx1"/>
                  </w14:solidFill>
                </w14:textFill>
              </w:rPr>
            </w:pPr>
            <w:r>
              <w:rPr>
                <w:rFonts w:hint="eastAsia" w:ascii="楷体" w:hAnsi="楷体" w:eastAsia="楷体" w:cs="楷体"/>
                <w:bCs/>
                <w:color w:val="000000" w:themeColor="text1"/>
                <w:sz w:val="20"/>
                <w:szCs w:val="20"/>
                <w:highlight w:val="none"/>
                <w:lang w:val="en-US" w:eastAsia="zh-CN"/>
                <w14:textFill>
                  <w14:solidFill>
                    <w14:schemeClr w14:val="tx1"/>
                  </w14:solidFill>
                </w14:textFill>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656" w:type="dxa"/>
            <w:gridSpan w:val="2"/>
            <w:noWrap w:val="0"/>
            <w:vAlign w:val="center"/>
          </w:tcPr>
          <w:p>
            <w:pPr>
              <w:keepNext w:val="0"/>
              <w:keepLines w:val="0"/>
              <w:pageBreakBefore w:val="0"/>
              <w:widowControl/>
              <w:bidi w:val="0"/>
              <w:spacing w:line="240" w:lineRule="auto"/>
              <w:jc w:val="center"/>
              <w:rPr>
                <w:rFonts w:hint="eastAsia" w:ascii="楷体" w:hAnsi="楷体" w:eastAsia="楷体" w:cs="楷体"/>
                <w:bCs/>
                <w:color w:val="000000" w:themeColor="text1"/>
                <w:sz w:val="20"/>
                <w:szCs w:val="20"/>
                <w:highlight w:val="none"/>
                <w14:textFill>
                  <w14:solidFill>
                    <w14:schemeClr w14:val="tx1"/>
                  </w14:solidFill>
                </w14:textFill>
              </w:rPr>
            </w:pPr>
            <w:r>
              <w:rPr>
                <w:rFonts w:hint="eastAsia" w:ascii="楷体" w:hAnsi="楷体" w:eastAsia="楷体" w:cs="楷体"/>
                <w:b/>
                <w:color w:val="000000" w:themeColor="text1"/>
                <w:sz w:val="20"/>
                <w:szCs w:val="20"/>
                <w:highlight w:val="none"/>
                <w14:textFill>
                  <w14:solidFill>
                    <w14:schemeClr w14:val="tx1"/>
                  </w14:solidFill>
                </w14:textFill>
              </w:rPr>
              <w:t>（四）产品期限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178" w:type="dxa"/>
            <w:noWrap w:val="0"/>
            <w:vAlign w:val="center"/>
          </w:tcPr>
          <w:p>
            <w:pPr>
              <w:keepNext w:val="0"/>
              <w:keepLines w:val="0"/>
              <w:pageBreakBefore w:val="0"/>
              <w:widowControl/>
              <w:bidi w:val="0"/>
              <w:spacing w:line="240" w:lineRule="auto"/>
              <w:jc w:val="center"/>
              <w:rPr>
                <w:rFonts w:hint="eastAsia" w:ascii="楷体" w:hAnsi="楷体" w:eastAsia="楷体" w:cs="楷体"/>
                <w:b/>
                <w:bCs/>
                <w:color w:val="000000" w:themeColor="text1"/>
                <w:sz w:val="20"/>
                <w:szCs w:val="20"/>
                <w:highlight w:val="none"/>
                <w14:textFill>
                  <w14:solidFill>
                    <w14:schemeClr w14:val="tx1"/>
                  </w14:solidFill>
                </w14:textFill>
              </w:rPr>
            </w:pPr>
            <w:r>
              <w:rPr>
                <w:rFonts w:hint="eastAsia" w:ascii="楷体" w:hAnsi="楷体" w:eastAsia="楷体" w:cs="楷体"/>
                <w:b/>
                <w:bCs/>
                <w:color w:val="000000" w:themeColor="text1"/>
                <w:sz w:val="20"/>
                <w:szCs w:val="20"/>
                <w:highlight w:val="none"/>
                <w14:textFill>
                  <w14:solidFill>
                    <w14:schemeClr w14:val="tx1"/>
                  </w14:solidFill>
                </w14:textFill>
              </w:rPr>
              <w:t>募集起始日期</w:t>
            </w:r>
          </w:p>
        </w:tc>
        <w:tc>
          <w:tcPr>
            <w:tcW w:w="7478" w:type="dxa"/>
            <w:noWrap w:val="0"/>
            <w:vAlign w:val="center"/>
          </w:tcPr>
          <w:p>
            <w:pPr>
              <w:keepNext w:val="0"/>
              <w:keepLines w:val="0"/>
              <w:pageBreakBefore w:val="0"/>
              <w:widowControl/>
              <w:bidi w:val="0"/>
              <w:spacing w:line="240" w:lineRule="auto"/>
              <w:jc w:val="both"/>
              <w:rPr>
                <w:rFonts w:hint="eastAsia" w:ascii="楷体" w:hAnsi="楷体" w:eastAsia="楷体" w:cs="楷体"/>
                <w:bCs/>
                <w:color w:val="000000" w:themeColor="text1"/>
                <w:sz w:val="20"/>
                <w:szCs w:val="20"/>
                <w:highlight w:val="none"/>
                <w14:textFill>
                  <w14:solidFill>
                    <w14:schemeClr w14:val="tx1"/>
                  </w14:solidFill>
                </w14:textFill>
              </w:rPr>
            </w:pPr>
            <w:r>
              <w:rPr>
                <w:rFonts w:hint="eastAsia" w:ascii="楷体" w:hAnsi="楷体" w:eastAsia="楷体" w:cs="楷体"/>
                <w:bCs/>
                <w:color w:val="000000" w:themeColor="text1"/>
                <w:sz w:val="20"/>
                <w:szCs w:val="20"/>
                <w:highlight w:val="none"/>
                <w:lang w:val="en-US" w:eastAsia="zh-CN"/>
                <w14:textFill>
                  <w14:solidFill>
                    <w14:schemeClr w14:val="tx1"/>
                  </w14:solidFill>
                </w14:textFill>
              </w:rPr>
              <w:t>2026年9月3日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178" w:type="dxa"/>
            <w:noWrap w:val="0"/>
            <w:vAlign w:val="center"/>
          </w:tcPr>
          <w:p>
            <w:pPr>
              <w:keepNext w:val="0"/>
              <w:keepLines w:val="0"/>
              <w:pageBreakBefore w:val="0"/>
              <w:widowControl/>
              <w:bidi w:val="0"/>
              <w:spacing w:line="240" w:lineRule="auto"/>
              <w:jc w:val="center"/>
              <w:rPr>
                <w:rFonts w:hint="eastAsia" w:ascii="楷体" w:hAnsi="楷体" w:eastAsia="楷体" w:cs="楷体"/>
                <w:b/>
                <w:bCs/>
                <w:color w:val="000000" w:themeColor="text1"/>
                <w:sz w:val="20"/>
                <w:szCs w:val="20"/>
                <w:highlight w:val="none"/>
                <w14:textFill>
                  <w14:solidFill>
                    <w14:schemeClr w14:val="tx1"/>
                  </w14:solidFill>
                </w14:textFill>
              </w:rPr>
            </w:pPr>
            <w:r>
              <w:rPr>
                <w:rFonts w:hint="eastAsia" w:ascii="楷体" w:hAnsi="楷体" w:eastAsia="楷体" w:cs="楷体"/>
                <w:b/>
                <w:bCs/>
                <w:color w:val="000000" w:themeColor="text1"/>
                <w:sz w:val="20"/>
                <w:szCs w:val="20"/>
                <w:highlight w:val="none"/>
                <w14:textFill>
                  <w14:solidFill>
                    <w14:schemeClr w14:val="tx1"/>
                  </w14:solidFill>
                </w14:textFill>
              </w:rPr>
              <w:t>募集结束日期</w:t>
            </w:r>
          </w:p>
        </w:tc>
        <w:tc>
          <w:tcPr>
            <w:tcW w:w="7478" w:type="dxa"/>
            <w:noWrap w:val="0"/>
            <w:vAlign w:val="center"/>
          </w:tcPr>
          <w:p>
            <w:pPr>
              <w:keepNext w:val="0"/>
              <w:keepLines w:val="0"/>
              <w:pageBreakBefore w:val="0"/>
              <w:widowControl/>
              <w:bidi w:val="0"/>
              <w:spacing w:line="240" w:lineRule="auto"/>
              <w:jc w:val="both"/>
              <w:rPr>
                <w:rFonts w:hint="eastAsia" w:ascii="楷体" w:hAnsi="楷体" w:eastAsia="楷体" w:cs="楷体"/>
                <w:bCs/>
                <w:color w:val="000000" w:themeColor="text1"/>
                <w:sz w:val="20"/>
                <w:szCs w:val="20"/>
                <w:highlight w:val="none"/>
                <w14:textFill>
                  <w14:solidFill>
                    <w14:schemeClr w14:val="tx1"/>
                  </w14:solidFill>
                </w14:textFill>
              </w:rPr>
            </w:pPr>
            <w:r>
              <w:rPr>
                <w:rFonts w:hint="eastAsia" w:ascii="楷体" w:hAnsi="楷体" w:eastAsia="楷体" w:cs="楷体"/>
                <w:bCs/>
                <w:color w:val="000000" w:themeColor="text1"/>
                <w:sz w:val="20"/>
                <w:szCs w:val="20"/>
                <w:highlight w:val="none"/>
                <w:lang w:val="en-US" w:eastAsia="zh-CN"/>
                <w14:textFill>
                  <w14:solidFill>
                    <w14:schemeClr w14:val="tx1"/>
                  </w14:solidFill>
                </w14:textFill>
              </w:rPr>
              <w:t>2026年9月9日</w:t>
            </w:r>
          </w:p>
          <w:p>
            <w:pPr>
              <w:keepNext w:val="0"/>
              <w:keepLines w:val="0"/>
              <w:pageBreakBefore w:val="0"/>
              <w:widowControl/>
              <w:bidi w:val="0"/>
              <w:spacing w:line="240" w:lineRule="auto"/>
              <w:jc w:val="both"/>
              <w:rPr>
                <w:rFonts w:hint="eastAsia" w:ascii="楷体" w:hAnsi="楷体" w:eastAsia="楷体" w:cs="楷体"/>
                <w:bCs/>
                <w:color w:val="000000" w:themeColor="text1"/>
                <w:sz w:val="20"/>
                <w:szCs w:val="20"/>
                <w:highlight w:val="none"/>
                <w14:textFill>
                  <w14:solidFill>
                    <w14:schemeClr w14:val="tx1"/>
                  </w14:solidFill>
                </w14:textFill>
              </w:rPr>
            </w:pPr>
            <w:r>
              <w:rPr>
                <w:rFonts w:hint="eastAsia" w:ascii="楷体" w:hAnsi="楷体" w:eastAsia="楷体" w:cs="楷体"/>
                <w:bCs/>
                <w:color w:val="000000" w:themeColor="text1"/>
                <w:sz w:val="20"/>
                <w:szCs w:val="20"/>
                <w:highlight w:val="none"/>
                <w14:textFill>
                  <w14:solidFill>
                    <w14:schemeClr w14:val="tx1"/>
                  </w14:solidFill>
                </w14:textFill>
              </w:rPr>
              <w:t>投资者可于募集结束日交易闭市前撤销认购申请，该时点后不得撤销。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178" w:type="dxa"/>
            <w:noWrap w:val="0"/>
            <w:vAlign w:val="center"/>
          </w:tcPr>
          <w:p>
            <w:pPr>
              <w:keepNext w:val="0"/>
              <w:keepLines w:val="0"/>
              <w:pageBreakBefore w:val="0"/>
              <w:widowControl/>
              <w:bidi w:val="0"/>
              <w:spacing w:line="240" w:lineRule="auto"/>
              <w:jc w:val="center"/>
              <w:rPr>
                <w:rFonts w:hint="eastAsia" w:ascii="楷体" w:hAnsi="楷体" w:eastAsia="楷体" w:cs="楷体"/>
                <w:b/>
                <w:bCs/>
                <w:color w:val="000000" w:themeColor="text1"/>
                <w:sz w:val="20"/>
                <w:szCs w:val="20"/>
                <w:highlight w:val="none"/>
                <w14:textFill>
                  <w14:solidFill>
                    <w14:schemeClr w14:val="tx1"/>
                  </w14:solidFill>
                </w14:textFill>
              </w:rPr>
            </w:pPr>
            <w:r>
              <w:rPr>
                <w:rFonts w:hint="eastAsia" w:ascii="楷体" w:hAnsi="楷体" w:eastAsia="楷体" w:cs="楷体"/>
                <w:b/>
                <w:bCs/>
                <w:color w:val="000000" w:themeColor="text1"/>
                <w:sz w:val="20"/>
                <w:szCs w:val="20"/>
                <w:highlight w:val="none"/>
                <w14:textFill>
                  <w14:solidFill>
                    <w14:schemeClr w14:val="tx1"/>
                  </w14:solidFill>
                </w14:textFill>
              </w:rPr>
              <w:t>产品成立日期</w:t>
            </w:r>
          </w:p>
        </w:tc>
        <w:tc>
          <w:tcPr>
            <w:tcW w:w="7478" w:type="dxa"/>
            <w:noWrap w:val="0"/>
            <w:vAlign w:val="center"/>
          </w:tcPr>
          <w:p>
            <w:pPr>
              <w:keepNext w:val="0"/>
              <w:keepLines w:val="0"/>
              <w:pageBreakBefore w:val="0"/>
              <w:widowControl/>
              <w:bidi w:val="0"/>
              <w:spacing w:line="240" w:lineRule="auto"/>
              <w:jc w:val="both"/>
              <w:rPr>
                <w:rFonts w:hint="eastAsia" w:ascii="楷体" w:hAnsi="楷体" w:eastAsia="楷体" w:cs="楷体"/>
                <w:bCs/>
                <w:color w:val="000000" w:themeColor="text1"/>
                <w:sz w:val="20"/>
                <w:szCs w:val="20"/>
                <w:highlight w:val="none"/>
                <w14:textFill>
                  <w14:solidFill>
                    <w14:schemeClr w14:val="tx1"/>
                  </w14:solidFill>
                </w14:textFill>
              </w:rPr>
            </w:pPr>
            <w:r>
              <w:rPr>
                <w:rFonts w:hint="eastAsia" w:ascii="楷体" w:hAnsi="楷体" w:eastAsia="楷体" w:cs="楷体"/>
                <w:bCs/>
                <w:color w:val="000000" w:themeColor="text1"/>
                <w:sz w:val="20"/>
                <w:szCs w:val="20"/>
                <w:highlight w:val="none"/>
                <w:lang w:val="en-US" w:eastAsia="zh-CN"/>
                <w14:textFill>
                  <w14:solidFill>
                    <w14:schemeClr w14:val="tx1"/>
                  </w14:solidFill>
                </w14:textFill>
              </w:rPr>
              <w:t>2026年9月10日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178" w:type="dxa"/>
            <w:noWrap w:val="0"/>
            <w:vAlign w:val="center"/>
          </w:tcPr>
          <w:p>
            <w:pPr>
              <w:keepNext w:val="0"/>
              <w:keepLines w:val="0"/>
              <w:pageBreakBefore w:val="0"/>
              <w:widowControl/>
              <w:bidi w:val="0"/>
              <w:spacing w:line="240" w:lineRule="auto"/>
              <w:jc w:val="center"/>
              <w:rPr>
                <w:rFonts w:hint="eastAsia" w:ascii="楷体" w:hAnsi="楷体" w:eastAsia="楷体" w:cs="楷体"/>
                <w:b/>
                <w:bCs/>
                <w:color w:val="000000" w:themeColor="text1"/>
                <w:sz w:val="20"/>
                <w:szCs w:val="20"/>
                <w:highlight w:val="none"/>
                <w14:textFill>
                  <w14:solidFill>
                    <w14:schemeClr w14:val="tx1"/>
                  </w14:solidFill>
                </w14:textFill>
              </w:rPr>
            </w:pPr>
            <w:r>
              <w:rPr>
                <w:rFonts w:hint="eastAsia" w:ascii="楷体" w:hAnsi="楷体" w:eastAsia="楷体" w:cs="楷体"/>
                <w:b/>
                <w:bCs/>
                <w:color w:val="000000" w:themeColor="text1"/>
                <w:sz w:val="20"/>
                <w:szCs w:val="20"/>
                <w:highlight w:val="none"/>
                <w14:textFill>
                  <w14:solidFill>
                    <w14:schemeClr w14:val="tx1"/>
                  </w14:solidFill>
                </w14:textFill>
              </w:rPr>
              <w:t>产品终止日期</w:t>
            </w:r>
          </w:p>
        </w:tc>
        <w:tc>
          <w:tcPr>
            <w:tcW w:w="7478" w:type="dxa"/>
            <w:noWrap w:val="0"/>
            <w:vAlign w:val="center"/>
          </w:tcPr>
          <w:p>
            <w:pPr>
              <w:keepNext w:val="0"/>
              <w:keepLines w:val="0"/>
              <w:pageBreakBefore w:val="0"/>
              <w:widowControl/>
              <w:bidi w:val="0"/>
              <w:spacing w:line="240" w:lineRule="auto"/>
              <w:jc w:val="both"/>
              <w:rPr>
                <w:rFonts w:hint="eastAsia" w:ascii="楷体" w:hAnsi="楷体" w:eastAsia="楷体" w:cs="楷体"/>
                <w:bCs/>
                <w:color w:val="000000" w:themeColor="text1"/>
                <w:sz w:val="20"/>
                <w:szCs w:val="20"/>
                <w:highlight w:val="none"/>
                <w14:textFill>
                  <w14:solidFill>
                    <w14:schemeClr w14:val="tx1"/>
                  </w14:solidFill>
                </w14:textFill>
              </w:rPr>
            </w:pPr>
            <w:r>
              <w:rPr>
                <w:rFonts w:hint="eastAsia" w:ascii="楷体" w:hAnsi="楷体" w:eastAsia="楷体" w:cs="楷体"/>
                <w:bCs/>
                <w:color w:val="000000" w:themeColor="text1"/>
                <w:sz w:val="20"/>
                <w:szCs w:val="20"/>
                <w:highlight w:val="none"/>
                <w:lang w:val="en-US" w:eastAsia="zh-CN"/>
                <w14:textFill>
                  <w14:solidFill>
                    <w14:schemeClr w14:val="tx1"/>
                  </w14:solidFill>
                </w14:textFill>
              </w:rPr>
              <w:t>2028年10月11日</w:t>
            </w:r>
          </w:p>
          <w:p>
            <w:pPr>
              <w:keepNext w:val="0"/>
              <w:keepLines w:val="0"/>
              <w:pageBreakBefore w:val="0"/>
              <w:widowControl/>
              <w:bidi w:val="0"/>
              <w:spacing w:line="240" w:lineRule="auto"/>
              <w:jc w:val="both"/>
              <w:rPr>
                <w:rFonts w:hint="eastAsia" w:ascii="楷体" w:hAnsi="楷体" w:eastAsia="楷体" w:cs="楷体"/>
                <w:bCs/>
                <w:color w:val="000000" w:themeColor="text1"/>
                <w:sz w:val="20"/>
                <w:szCs w:val="20"/>
                <w:highlight w:val="none"/>
                <w14:textFill>
                  <w14:solidFill>
                    <w14:schemeClr w14:val="tx1"/>
                  </w14:solidFill>
                </w14:textFill>
              </w:rPr>
            </w:pPr>
            <w:r>
              <w:rPr>
                <w:rFonts w:hint="eastAsia" w:ascii="楷体" w:hAnsi="楷体" w:eastAsia="楷体" w:cs="楷体"/>
                <w:bCs/>
                <w:color w:val="000000" w:themeColor="text1"/>
                <w:sz w:val="20"/>
                <w:szCs w:val="20"/>
                <w:highlight w:val="none"/>
                <w14:textFill>
                  <w14:solidFill>
                    <w14:schemeClr w14:val="tx1"/>
                  </w14:solidFill>
                </w14:textFill>
              </w:rPr>
              <w:t>如遇节假日，顺延至下一工作日。产品</w:t>
            </w:r>
            <w:r>
              <w:rPr>
                <w:rFonts w:hint="eastAsia" w:ascii="楷体" w:hAnsi="楷体" w:eastAsia="楷体" w:cs="楷体"/>
                <w:bCs/>
                <w:color w:val="000000" w:themeColor="text1"/>
                <w:sz w:val="20"/>
                <w:szCs w:val="20"/>
                <w:highlight w:val="none"/>
                <w:lang w:val="en-US" w:eastAsia="zh-CN"/>
                <w14:textFill>
                  <w14:solidFill>
                    <w14:schemeClr w14:val="tx1"/>
                  </w14:solidFill>
                </w14:textFill>
              </w:rPr>
              <w:t>终止</w:t>
            </w:r>
            <w:r>
              <w:rPr>
                <w:rFonts w:hint="eastAsia" w:ascii="楷体" w:hAnsi="楷体" w:eastAsia="楷体" w:cs="楷体"/>
                <w:bCs/>
                <w:color w:val="000000" w:themeColor="text1"/>
                <w:sz w:val="20"/>
                <w:szCs w:val="20"/>
                <w:highlight w:val="none"/>
                <w14:textFill>
                  <w14:solidFill>
                    <w14:schemeClr w14:val="tx1"/>
                  </w14:solidFill>
                </w14:textFill>
              </w:rPr>
              <w:t>日受制于提前终止、延期终止条款。详见下文“产品终止”。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178" w:type="dxa"/>
            <w:noWrap w:val="0"/>
            <w:vAlign w:val="center"/>
          </w:tcPr>
          <w:p>
            <w:pPr>
              <w:keepNext w:val="0"/>
              <w:keepLines w:val="0"/>
              <w:pageBreakBefore w:val="0"/>
              <w:widowControl/>
              <w:bidi w:val="0"/>
              <w:spacing w:line="240" w:lineRule="auto"/>
              <w:jc w:val="center"/>
              <w:rPr>
                <w:rFonts w:hint="eastAsia" w:ascii="楷体" w:hAnsi="楷体" w:eastAsia="楷体" w:cs="楷体"/>
                <w:b/>
                <w:bCs/>
                <w:color w:val="000000" w:themeColor="text1"/>
                <w:sz w:val="20"/>
                <w:szCs w:val="20"/>
                <w:highlight w:val="none"/>
                <w14:textFill>
                  <w14:solidFill>
                    <w14:schemeClr w14:val="tx1"/>
                  </w14:solidFill>
                </w14:textFill>
              </w:rPr>
            </w:pPr>
            <w:r>
              <w:rPr>
                <w:rFonts w:hint="eastAsia" w:ascii="楷体" w:hAnsi="楷体" w:eastAsia="楷体" w:cs="楷体"/>
                <w:b/>
                <w:bCs/>
                <w:color w:val="000000" w:themeColor="text1"/>
                <w:sz w:val="20"/>
                <w:szCs w:val="20"/>
                <w:highlight w:val="none"/>
                <w14:textFill>
                  <w14:solidFill>
                    <w14:schemeClr w14:val="tx1"/>
                  </w14:solidFill>
                </w14:textFill>
              </w:rPr>
              <w:t>资金到账日</w:t>
            </w:r>
          </w:p>
        </w:tc>
        <w:tc>
          <w:tcPr>
            <w:tcW w:w="7478" w:type="dxa"/>
            <w:noWrap w:val="0"/>
            <w:vAlign w:val="center"/>
          </w:tcPr>
          <w:p>
            <w:pPr>
              <w:keepNext w:val="0"/>
              <w:keepLines w:val="0"/>
              <w:pageBreakBefore w:val="0"/>
              <w:widowControl/>
              <w:bidi w:val="0"/>
              <w:spacing w:line="240" w:lineRule="auto"/>
              <w:jc w:val="both"/>
              <w:rPr>
                <w:rFonts w:hint="default" w:ascii="楷体" w:hAnsi="楷体" w:eastAsia="楷体" w:cs="楷体"/>
                <w:bCs/>
                <w:color w:val="000000" w:themeColor="text1"/>
                <w:sz w:val="20"/>
                <w:szCs w:val="20"/>
                <w:highlight w:val="none"/>
                <w:lang w:val="en-US" w:eastAsia="zh-CN"/>
                <w14:textFill>
                  <w14:solidFill>
                    <w14:schemeClr w14:val="tx1"/>
                  </w14:solidFill>
                </w14:textFill>
              </w:rPr>
            </w:pPr>
            <w:r>
              <w:rPr>
                <w:rFonts w:hint="default" w:ascii="楷体" w:hAnsi="楷体" w:eastAsia="楷体" w:cs="楷体"/>
                <w:bCs/>
                <w:color w:val="000000" w:themeColor="text1"/>
                <w:sz w:val="20"/>
                <w:szCs w:val="20"/>
                <w:highlight w:val="none"/>
                <w:lang w:val="en-US" w:eastAsia="zh-CN"/>
                <w14:textFill>
                  <w14:solidFill>
                    <w14:schemeClr w14:val="tx1"/>
                  </w14:solidFill>
                </w14:textFill>
              </w:rPr>
              <w:t>T+5及以上（此处T指产品实际终止日，5指5个工作日）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178" w:type="dxa"/>
            <w:noWrap w:val="0"/>
            <w:vAlign w:val="center"/>
          </w:tcPr>
          <w:p>
            <w:pPr>
              <w:keepNext w:val="0"/>
              <w:keepLines w:val="0"/>
              <w:pageBreakBefore w:val="0"/>
              <w:widowControl/>
              <w:bidi w:val="0"/>
              <w:spacing w:line="240" w:lineRule="auto"/>
              <w:jc w:val="center"/>
              <w:rPr>
                <w:rFonts w:hint="eastAsia" w:ascii="楷体" w:hAnsi="楷体" w:eastAsia="楷体" w:cs="楷体"/>
                <w:b/>
                <w:bCs/>
                <w:color w:val="000000" w:themeColor="text1"/>
                <w:sz w:val="20"/>
                <w:szCs w:val="20"/>
                <w:highlight w:val="none"/>
                <w14:textFill>
                  <w14:solidFill>
                    <w14:schemeClr w14:val="tx1"/>
                  </w14:solidFill>
                </w14:textFill>
              </w:rPr>
            </w:pPr>
            <w:r>
              <w:rPr>
                <w:rFonts w:hint="eastAsia" w:ascii="楷体" w:hAnsi="楷体" w:eastAsia="楷体" w:cs="楷体"/>
                <w:b/>
                <w:bCs/>
                <w:color w:val="000000" w:themeColor="text1"/>
                <w:sz w:val="20"/>
                <w:szCs w:val="20"/>
                <w:highlight w:val="none"/>
                <w14:textFill>
                  <w14:solidFill>
                    <w14:schemeClr w14:val="tx1"/>
                  </w14:solidFill>
                </w14:textFill>
              </w:rPr>
              <w:t>最短持有期限</w:t>
            </w:r>
          </w:p>
        </w:tc>
        <w:tc>
          <w:tcPr>
            <w:tcW w:w="7478" w:type="dxa"/>
            <w:noWrap w:val="0"/>
            <w:vAlign w:val="center"/>
          </w:tcPr>
          <w:p>
            <w:pPr>
              <w:keepNext w:val="0"/>
              <w:keepLines w:val="0"/>
              <w:pageBreakBefore w:val="0"/>
              <w:widowControl/>
              <w:bidi w:val="0"/>
              <w:spacing w:line="240" w:lineRule="auto"/>
              <w:jc w:val="both"/>
              <w:rPr>
                <w:rFonts w:hint="eastAsia" w:ascii="楷体" w:hAnsi="楷体" w:eastAsia="楷体" w:cs="楷体"/>
                <w:bCs/>
                <w:color w:val="000000" w:themeColor="text1"/>
                <w:sz w:val="20"/>
                <w:szCs w:val="20"/>
                <w:highlight w:val="none"/>
                <w:lang w:val="en-US" w:eastAsia="zh-CN"/>
                <w14:textFill>
                  <w14:solidFill>
                    <w14:schemeClr w14:val="tx1"/>
                  </w14:solidFill>
                </w14:textFill>
              </w:rPr>
            </w:pPr>
            <w:r>
              <w:rPr>
                <w:rFonts w:hint="eastAsia" w:ascii="楷体" w:hAnsi="楷体" w:eastAsia="楷体" w:cs="楷体"/>
                <w:bCs/>
                <w:color w:val="000000" w:themeColor="text1"/>
                <w:sz w:val="20"/>
                <w:szCs w:val="20"/>
                <w:highlight w:val="none"/>
                <w:lang w:val="en-US" w:eastAsia="zh-CN"/>
                <w14:textFill>
                  <w14:solidFill>
                    <w14:schemeClr w14:val="tx1"/>
                  </w14:solidFill>
                </w14:textFill>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178" w:type="dxa"/>
            <w:noWrap w:val="0"/>
            <w:vAlign w:val="center"/>
          </w:tcPr>
          <w:p>
            <w:pPr>
              <w:keepNext w:val="0"/>
              <w:keepLines w:val="0"/>
              <w:pageBreakBefore w:val="0"/>
              <w:widowControl/>
              <w:bidi w:val="0"/>
              <w:spacing w:line="240" w:lineRule="auto"/>
              <w:jc w:val="center"/>
              <w:rPr>
                <w:rFonts w:hint="eastAsia" w:ascii="楷体" w:hAnsi="楷体" w:eastAsia="楷体" w:cs="楷体"/>
                <w:b/>
                <w:bCs/>
                <w:color w:val="000000" w:themeColor="text1"/>
                <w:sz w:val="20"/>
                <w:szCs w:val="20"/>
                <w:highlight w:val="none"/>
                <w14:textFill>
                  <w14:solidFill>
                    <w14:schemeClr w14:val="tx1"/>
                  </w14:solidFill>
                </w14:textFill>
              </w:rPr>
            </w:pPr>
            <w:r>
              <w:rPr>
                <w:rFonts w:hint="eastAsia" w:ascii="楷体" w:hAnsi="楷体" w:eastAsia="楷体" w:cs="楷体"/>
                <w:b/>
                <w:bCs/>
                <w:color w:val="000000" w:themeColor="text1"/>
                <w:sz w:val="20"/>
                <w:szCs w:val="20"/>
                <w:highlight w:val="none"/>
                <w14:textFill>
                  <w14:solidFill>
                    <w14:schemeClr w14:val="tx1"/>
                  </w14:solidFill>
                </w14:textFill>
              </w:rPr>
              <w:t>定期开放周期</w:t>
            </w:r>
          </w:p>
        </w:tc>
        <w:tc>
          <w:tcPr>
            <w:tcW w:w="7478" w:type="dxa"/>
            <w:noWrap w:val="0"/>
            <w:vAlign w:val="center"/>
          </w:tcPr>
          <w:p>
            <w:pPr>
              <w:keepNext w:val="0"/>
              <w:keepLines w:val="0"/>
              <w:pageBreakBefore w:val="0"/>
              <w:widowControl/>
              <w:bidi w:val="0"/>
              <w:spacing w:line="240" w:lineRule="auto"/>
              <w:jc w:val="both"/>
              <w:rPr>
                <w:rFonts w:hint="default"/>
                <w:sz w:val="20"/>
                <w:szCs w:val="20"/>
                <w:highlight w:val="none"/>
                <w:lang w:val="en-US" w:eastAsia="zh-CN"/>
              </w:rPr>
            </w:pPr>
            <w:r>
              <w:rPr>
                <w:rFonts w:hint="eastAsia" w:ascii="楷体" w:hAnsi="楷体" w:eastAsia="楷体" w:cs="楷体"/>
                <w:color w:val="000000" w:themeColor="text1"/>
                <w:sz w:val="20"/>
                <w:szCs w:val="20"/>
                <w:highlight w:val="none"/>
                <w:lang w:val="en-US" w:eastAsia="zh-CN"/>
                <w14:textFill>
                  <w14:solidFill>
                    <w14:schemeClr w14:val="tx1"/>
                  </w14:solidFill>
                </w14:textFill>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178" w:type="dxa"/>
            <w:noWrap w:val="0"/>
            <w:vAlign w:val="center"/>
          </w:tcPr>
          <w:p>
            <w:pPr>
              <w:keepNext w:val="0"/>
              <w:keepLines w:val="0"/>
              <w:pageBreakBefore w:val="0"/>
              <w:widowControl/>
              <w:bidi w:val="0"/>
              <w:spacing w:line="240" w:lineRule="auto"/>
              <w:jc w:val="center"/>
              <w:rPr>
                <w:rFonts w:hint="eastAsia" w:ascii="楷体" w:hAnsi="楷体" w:eastAsia="楷体" w:cs="楷体"/>
                <w:b/>
                <w:bCs/>
                <w:color w:val="000000" w:themeColor="text1"/>
                <w:sz w:val="20"/>
                <w:szCs w:val="20"/>
                <w:highlight w:val="none"/>
                <w14:textFill>
                  <w14:solidFill>
                    <w14:schemeClr w14:val="tx1"/>
                  </w14:solidFill>
                </w14:textFill>
              </w:rPr>
            </w:pPr>
            <w:r>
              <w:rPr>
                <w:rFonts w:hint="eastAsia" w:ascii="楷体" w:hAnsi="楷体" w:eastAsia="楷体" w:cs="楷体"/>
                <w:b/>
                <w:bCs/>
                <w:color w:val="000000" w:themeColor="text1"/>
                <w:sz w:val="20"/>
                <w:szCs w:val="20"/>
                <w:highlight w:val="none"/>
                <w14:textFill>
                  <w14:solidFill>
                    <w14:schemeClr w14:val="tx1"/>
                  </w14:solidFill>
                </w14:textFill>
              </w:rPr>
              <w:t>投资周期</w:t>
            </w:r>
          </w:p>
        </w:tc>
        <w:tc>
          <w:tcPr>
            <w:tcW w:w="7478" w:type="dxa"/>
            <w:noWrap w:val="0"/>
            <w:vAlign w:val="center"/>
          </w:tcPr>
          <w:p>
            <w:pPr>
              <w:keepNext w:val="0"/>
              <w:keepLines w:val="0"/>
              <w:pageBreakBefore w:val="0"/>
              <w:widowControl/>
              <w:bidi w:val="0"/>
              <w:spacing w:line="240" w:lineRule="auto"/>
              <w:jc w:val="both"/>
              <w:rPr>
                <w:rFonts w:hint="default" w:ascii="楷体" w:hAnsi="楷体" w:eastAsia="楷体" w:cs="楷体"/>
                <w:bCs/>
                <w:color w:val="000000" w:themeColor="text1"/>
                <w:sz w:val="20"/>
                <w:szCs w:val="20"/>
                <w:highlight w:val="none"/>
                <w:lang w:val="en-US" w:eastAsia="zh-CN"/>
                <w14:textFill>
                  <w14:solidFill>
                    <w14:schemeClr w14:val="tx1"/>
                  </w14:solidFill>
                </w14:textFill>
              </w:rPr>
            </w:pPr>
            <w:r>
              <w:rPr>
                <w:rFonts w:hint="default" w:ascii="楷体" w:hAnsi="楷体" w:eastAsia="楷体" w:cs="楷体"/>
                <w:bCs/>
                <w:color w:val="000000" w:themeColor="text1"/>
                <w:sz w:val="20"/>
                <w:szCs w:val="20"/>
                <w:highlight w:val="none"/>
                <w:lang w:val="en-US" w:eastAsia="zh-CN"/>
                <w14:textFill>
                  <w14:solidFill>
                    <w14:schemeClr w14:val="tx1"/>
                  </w14:solidFill>
                </w14:textFill>
              </w:rPr>
              <w:t>762</w:t>
            </w:r>
            <w:r>
              <w:rPr>
                <w:rFonts w:hint="eastAsia" w:ascii="楷体" w:hAnsi="楷体" w:eastAsia="楷体" w:cs="楷体"/>
                <w:bCs/>
                <w:color w:val="000000" w:themeColor="text1"/>
                <w:sz w:val="20"/>
                <w:szCs w:val="20"/>
                <w:highlight w:val="none"/>
                <w:lang w:val="en-US" w:eastAsia="zh-CN"/>
                <w14:textFill>
                  <w14:solidFill>
                    <w14:schemeClr w14:val="tx1"/>
                  </w14:solidFill>
                </w14:textFill>
              </w:rPr>
              <w:t>天</w:t>
            </w:r>
          </w:p>
          <w:p>
            <w:pPr>
              <w:keepNext w:val="0"/>
              <w:keepLines w:val="0"/>
              <w:pageBreakBefore w:val="0"/>
              <w:widowControl/>
              <w:bidi w:val="0"/>
              <w:spacing w:line="240" w:lineRule="auto"/>
              <w:jc w:val="both"/>
              <w:rPr>
                <w:rFonts w:hint="default" w:ascii="楷体" w:hAnsi="楷体" w:eastAsia="楷体" w:cs="楷体"/>
                <w:bCs/>
                <w:color w:val="000000" w:themeColor="text1"/>
                <w:sz w:val="20"/>
                <w:szCs w:val="20"/>
                <w:highlight w:val="none"/>
                <w:lang w:val="en-US" w:eastAsia="zh-CN"/>
                <w14:textFill>
                  <w14:solidFill>
                    <w14:schemeClr w14:val="tx1"/>
                  </w14:solidFill>
                </w14:textFill>
              </w:rPr>
            </w:pPr>
            <w:r>
              <w:rPr>
                <w:rFonts w:hint="default" w:ascii="楷体" w:hAnsi="楷体" w:eastAsia="楷体" w:cs="楷体"/>
                <w:bCs/>
                <w:color w:val="000000" w:themeColor="text1"/>
                <w:sz w:val="20"/>
                <w:szCs w:val="20"/>
                <w:highlight w:val="none"/>
                <w:lang w:val="en-US" w:eastAsia="zh-CN"/>
                <w14:textFill>
                  <w14:solidFill>
                    <w14:schemeClr w14:val="tx1"/>
                  </w14:solidFill>
                </w14:textFill>
              </w:rPr>
              <w:t>如遇节假日，顺延至下一工作日，以理财产品实际存续天数为准。</w:t>
            </w:r>
            <w:r>
              <w:rPr>
                <w:rFonts w:hint="default" w:ascii="楷体" w:hAnsi="楷体" w:eastAsia="楷体" w:cs="楷体"/>
                <w:b/>
                <w:bCs w:val="0"/>
                <w:color w:val="000000" w:themeColor="text1"/>
                <w:sz w:val="20"/>
                <w:szCs w:val="20"/>
                <w:highlight w:val="none"/>
                <w:u w:val="single"/>
                <w:lang w:val="en-US" w:eastAsia="zh-CN"/>
                <w14:textFill>
                  <w14:solidFill>
                    <w14:schemeClr w14:val="tx1"/>
                  </w14:solidFill>
                </w14:textFill>
              </w:rPr>
              <w:t>本产品运行期间，不开放申购、赎回。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656" w:type="dxa"/>
            <w:gridSpan w:val="2"/>
            <w:noWrap w:val="0"/>
            <w:vAlign w:val="center"/>
          </w:tcPr>
          <w:p>
            <w:pPr>
              <w:keepNext w:val="0"/>
              <w:keepLines w:val="0"/>
              <w:pageBreakBefore w:val="0"/>
              <w:widowControl/>
              <w:bidi w:val="0"/>
              <w:spacing w:line="240" w:lineRule="auto"/>
              <w:jc w:val="center"/>
              <w:rPr>
                <w:rFonts w:hint="eastAsia" w:ascii="楷体" w:hAnsi="楷体" w:eastAsia="楷体" w:cs="楷体"/>
                <w:b/>
                <w:bCs/>
                <w:color w:val="000000" w:themeColor="text1"/>
                <w:sz w:val="20"/>
                <w:szCs w:val="20"/>
                <w:highlight w:val="none"/>
                <w14:textFill>
                  <w14:solidFill>
                    <w14:schemeClr w14:val="tx1"/>
                  </w14:solidFill>
                </w14:textFill>
              </w:rPr>
            </w:pPr>
            <w:r>
              <w:rPr>
                <w:rFonts w:hint="eastAsia" w:ascii="楷体" w:hAnsi="楷体" w:eastAsia="楷体" w:cs="楷体"/>
                <w:b/>
                <w:bCs/>
                <w:color w:val="000000" w:themeColor="text1"/>
                <w:sz w:val="20"/>
                <w:szCs w:val="20"/>
                <w:highlight w:val="none"/>
                <w14:textFill>
                  <w14:solidFill>
                    <w14:schemeClr w14:val="tx1"/>
                  </w14:solidFill>
                </w14:textFill>
              </w:rPr>
              <w:t>（五）产品费用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178" w:type="dxa"/>
            <w:noWrap w:val="0"/>
            <w:vAlign w:val="center"/>
          </w:tcPr>
          <w:p>
            <w:pPr>
              <w:keepNext w:val="0"/>
              <w:keepLines w:val="0"/>
              <w:pageBreakBefore w:val="0"/>
              <w:widowControl/>
              <w:bidi w:val="0"/>
              <w:spacing w:line="240" w:lineRule="auto"/>
              <w:jc w:val="center"/>
              <w:rPr>
                <w:rFonts w:hint="eastAsia" w:ascii="楷体" w:hAnsi="楷体" w:eastAsia="楷体" w:cs="楷体"/>
                <w:b/>
                <w:bCs/>
                <w:color w:val="000000" w:themeColor="text1"/>
                <w:sz w:val="20"/>
                <w:szCs w:val="20"/>
                <w:highlight w:val="none"/>
                <w14:textFill>
                  <w14:solidFill>
                    <w14:schemeClr w14:val="tx1"/>
                  </w14:solidFill>
                </w14:textFill>
              </w:rPr>
            </w:pPr>
            <w:r>
              <w:rPr>
                <w:rFonts w:hint="eastAsia" w:ascii="楷体" w:hAnsi="楷体" w:eastAsia="楷体" w:cs="楷体"/>
                <w:b/>
                <w:bCs/>
                <w:color w:val="000000" w:themeColor="text1"/>
                <w:sz w:val="20"/>
                <w:szCs w:val="20"/>
                <w:highlight w:val="none"/>
                <w14:textFill>
                  <w14:solidFill>
                    <w14:schemeClr w14:val="tx1"/>
                  </w14:solidFill>
                </w14:textFill>
              </w:rPr>
              <w:t>销售服务费率（年化）</w:t>
            </w:r>
          </w:p>
        </w:tc>
        <w:tc>
          <w:tcPr>
            <w:tcW w:w="7478" w:type="dxa"/>
            <w:noWrap w:val="0"/>
            <w:vAlign w:val="center"/>
          </w:tcPr>
          <w:p>
            <w:pPr>
              <w:keepNext w:val="0"/>
              <w:keepLines w:val="0"/>
              <w:pageBreakBefore w:val="0"/>
              <w:widowControl/>
              <w:bidi w:val="0"/>
              <w:spacing w:line="240" w:lineRule="auto"/>
              <w:jc w:val="both"/>
              <w:rPr>
                <w:rFonts w:hint="eastAsia" w:ascii="楷体" w:hAnsi="楷体" w:eastAsia="楷体" w:cs="楷体"/>
                <w:bCs/>
                <w:color w:val="000000" w:themeColor="text1"/>
                <w:sz w:val="20"/>
                <w:szCs w:val="20"/>
                <w:highlight w:val="none"/>
                <w14:textFill>
                  <w14:solidFill>
                    <w14:schemeClr w14:val="tx1"/>
                  </w14:solidFill>
                </w14:textFill>
              </w:rPr>
            </w:pPr>
            <w:r>
              <w:rPr>
                <w:rFonts w:hint="eastAsia" w:ascii="楷体" w:hAnsi="楷体" w:eastAsia="楷体" w:cs="楷体"/>
                <w:bCs/>
                <w:color w:val="000000" w:themeColor="text1"/>
                <w:sz w:val="20"/>
                <w:szCs w:val="20"/>
                <w:highlight w:val="none"/>
                <w:lang w:eastAsia="zh-CN"/>
                <w14:textFill>
                  <w14:solidFill>
                    <w14:schemeClr w14:val="tx1"/>
                  </w14:solidFill>
                </w14:textFill>
              </w:rPr>
              <w:t>A份额：0.20%；B份额：0.20%；C份额：0.20%；D份额：0.25%；E份额：0.20%；F份额：0.20%；H份额：0.35%；J份额：0.15%；K份额：0.20%；L份额：0.30%；N份额：0.05%；P份额：0.30%；JS份额：0.20%；G份额：0.05%；I份额：0.25%；M份额：0.20%；O份额：0.05%；Z份额：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178" w:type="dxa"/>
            <w:noWrap w:val="0"/>
            <w:vAlign w:val="center"/>
          </w:tcPr>
          <w:p>
            <w:pPr>
              <w:keepNext w:val="0"/>
              <w:keepLines w:val="0"/>
              <w:pageBreakBefore w:val="0"/>
              <w:widowControl/>
              <w:bidi w:val="0"/>
              <w:spacing w:line="240" w:lineRule="auto"/>
              <w:jc w:val="center"/>
              <w:rPr>
                <w:rFonts w:hint="eastAsia" w:ascii="楷体" w:hAnsi="楷体" w:eastAsia="楷体" w:cs="楷体"/>
                <w:b/>
                <w:bCs/>
                <w:color w:val="000000" w:themeColor="text1"/>
                <w:sz w:val="20"/>
                <w:szCs w:val="20"/>
                <w:highlight w:val="none"/>
                <w14:textFill>
                  <w14:solidFill>
                    <w14:schemeClr w14:val="tx1"/>
                  </w14:solidFill>
                </w14:textFill>
              </w:rPr>
            </w:pPr>
            <w:r>
              <w:rPr>
                <w:rFonts w:hint="eastAsia" w:ascii="楷体" w:hAnsi="楷体" w:eastAsia="楷体" w:cs="楷体"/>
                <w:b/>
                <w:bCs/>
                <w:color w:val="000000" w:themeColor="text1"/>
                <w:sz w:val="20"/>
                <w:szCs w:val="20"/>
                <w:highlight w:val="none"/>
                <w14:textFill>
                  <w14:solidFill>
                    <w14:schemeClr w14:val="tx1"/>
                  </w14:solidFill>
                </w14:textFill>
              </w:rPr>
              <w:t>托管费率（年化）</w:t>
            </w:r>
          </w:p>
        </w:tc>
        <w:tc>
          <w:tcPr>
            <w:tcW w:w="7478" w:type="dxa"/>
            <w:noWrap w:val="0"/>
            <w:vAlign w:val="center"/>
          </w:tcPr>
          <w:p>
            <w:pPr>
              <w:keepNext w:val="0"/>
              <w:keepLines w:val="0"/>
              <w:pageBreakBefore w:val="0"/>
              <w:widowControl/>
              <w:bidi w:val="0"/>
              <w:spacing w:line="240" w:lineRule="auto"/>
              <w:jc w:val="both"/>
              <w:rPr>
                <w:rFonts w:hint="eastAsia" w:ascii="楷体" w:hAnsi="楷体" w:eastAsia="楷体" w:cs="楷体"/>
                <w:bCs/>
                <w:color w:val="000000" w:themeColor="text1"/>
                <w:sz w:val="20"/>
                <w:szCs w:val="20"/>
                <w:highlight w:val="none"/>
                <w14:textFill>
                  <w14:solidFill>
                    <w14:schemeClr w14:val="tx1"/>
                  </w14:solidFill>
                </w14:textFill>
              </w:rPr>
            </w:pPr>
            <w:bookmarkStart w:id="1" w:name="_GoBack"/>
            <w:bookmarkEnd w:id="1"/>
            <w:r>
              <w:rPr>
                <w:rFonts w:hint="eastAsia" w:ascii="楷体" w:hAnsi="楷体" w:eastAsia="楷体" w:cs="楷体"/>
                <w:bCs/>
                <w:color w:val="000000" w:themeColor="text1"/>
                <w:sz w:val="20"/>
                <w:szCs w:val="20"/>
                <w:highlight w:val="none"/>
                <w:lang w:val="en-US" w:eastAsia="zh-CN"/>
                <w14:textFill>
                  <w14:solidFill>
                    <w14:schemeClr w14:val="tx1"/>
                  </w14:solidFill>
                </w14:textFill>
              </w:rPr>
              <w:t>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178" w:type="dxa"/>
            <w:noWrap w:val="0"/>
            <w:vAlign w:val="center"/>
          </w:tcPr>
          <w:p>
            <w:pPr>
              <w:keepNext w:val="0"/>
              <w:keepLines w:val="0"/>
              <w:pageBreakBefore w:val="0"/>
              <w:widowControl/>
              <w:bidi w:val="0"/>
              <w:spacing w:line="240" w:lineRule="auto"/>
              <w:jc w:val="center"/>
              <w:rPr>
                <w:rFonts w:hint="eastAsia" w:ascii="楷体" w:hAnsi="楷体" w:eastAsia="楷体" w:cs="楷体"/>
                <w:b/>
                <w:bCs/>
                <w:color w:val="000000" w:themeColor="text1"/>
                <w:sz w:val="20"/>
                <w:szCs w:val="20"/>
                <w:highlight w:val="none"/>
                <w14:textFill>
                  <w14:solidFill>
                    <w14:schemeClr w14:val="tx1"/>
                  </w14:solidFill>
                </w14:textFill>
              </w:rPr>
            </w:pPr>
            <w:r>
              <w:rPr>
                <w:rFonts w:hint="eastAsia" w:ascii="楷体" w:hAnsi="楷体" w:eastAsia="楷体" w:cs="楷体"/>
                <w:b/>
                <w:bCs/>
                <w:color w:val="000000" w:themeColor="text1"/>
                <w:sz w:val="20"/>
                <w:szCs w:val="20"/>
                <w:highlight w:val="none"/>
                <w14:textFill>
                  <w14:solidFill>
                    <w14:schemeClr w14:val="tx1"/>
                  </w14:solidFill>
                </w14:textFill>
              </w:rPr>
              <w:t>固定管理费率（年化）</w:t>
            </w:r>
          </w:p>
        </w:tc>
        <w:tc>
          <w:tcPr>
            <w:tcW w:w="7478" w:type="dxa"/>
            <w:noWrap w:val="0"/>
            <w:vAlign w:val="center"/>
          </w:tcPr>
          <w:p>
            <w:pPr>
              <w:keepNext w:val="0"/>
              <w:keepLines w:val="0"/>
              <w:pageBreakBefore w:val="0"/>
              <w:widowControl/>
              <w:bidi w:val="0"/>
              <w:spacing w:line="240" w:lineRule="auto"/>
              <w:jc w:val="both"/>
              <w:rPr>
                <w:rFonts w:hint="eastAsia" w:ascii="楷体" w:hAnsi="楷体" w:eastAsia="楷体" w:cs="楷体"/>
                <w:bCs/>
                <w:color w:val="000000" w:themeColor="text1"/>
                <w:sz w:val="20"/>
                <w:szCs w:val="20"/>
                <w:highlight w:val="none"/>
                <w14:textFill>
                  <w14:solidFill>
                    <w14:schemeClr w14:val="tx1"/>
                  </w14:solidFill>
                </w14:textFill>
              </w:rPr>
            </w:pPr>
            <w:r>
              <w:rPr>
                <w:rFonts w:hint="eastAsia" w:ascii="楷体" w:hAnsi="楷体" w:eastAsia="楷体" w:cs="楷体"/>
                <w:bCs/>
                <w:color w:val="000000" w:themeColor="text1"/>
                <w:sz w:val="20"/>
                <w:szCs w:val="20"/>
                <w:highlight w:val="none"/>
                <w:lang w:val="en-US" w:eastAsia="zh-CN"/>
                <w14:textFill>
                  <w14:solidFill>
                    <w14:schemeClr w14:val="tx1"/>
                  </w14:solidFill>
                </w14:textFill>
              </w:rPr>
              <w:t>A份额：0.20%；B份额：0.20%；C份额：0.15%；D份额：0.15%；E份额：0.10%；F份额：0.15%；H份额：0.15%；J份额：0.20%；K份额：0.20%；L份额：0.10%；N份额：0.20%；P份额：0.15%；JS份额：0.20%；G份额：0.20%；I份额：0.15%；M份额：0.10%；O份额：0.05%；Z份额：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178" w:type="dxa"/>
            <w:noWrap w:val="0"/>
            <w:vAlign w:val="center"/>
          </w:tcPr>
          <w:p>
            <w:pPr>
              <w:keepNext w:val="0"/>
              <w:keepLines w:val="0"/>
              <w:pageBreakBefore w:val="0"/>
              <w:widowControl/>
              <w:bidi w:val="0"/>
              <w:spacing w:line="240" w:lineRule="auto"/>
              <w:jc w:val="center"/>
              <w:rPr>
                <w:rFonts w:hint="eastAsia" w:ascii="楷体" w:hAnsi="楷体" w:eastAsia="楷体" w:cs="楷体"/>
                <w:b/>
                <w:bCs/>
                <w:color w:val="000000" w:themeColor="text1"/>
                <w:sz w:val="20"/>
                <w:szCs w:val="20"/>
                <w:highlight w:val="none"/>
                <w14:textFill>
                  <w14:solidFill>
                    <w14:schemeClr w14:val="tx1"/>
                  </w14:solidFill>
                </w14:textFill>
              </w:rPr>
            </w:pPr>
            <w:r>
              <w:rPr>
                <w:rFonts w:hint="eastAsia" w:ascii="楷体" w:hAnsi="楷体" w:eastAsia="楷体" w:cs="楷体"/>
                <w:b/>
                <w:bCs/>
                <w:color w:val="000000" w:themeColor="text1"/>
                <w:sz w:val="20"/>
                <w:szCs w:val="20"/>
                <w:highlight w:val="none"/>
                <w14:textFill>
                  <w14:solidFill>
                    <w14:schemeClr w14:val="tx1"/>
                  </w14:solidFill>
                </w14:textFill>
              </w:rPr>
              <w:t>浮动管理费</w:t>
            </w:r>
          </w:p>
        </w:tc>
        <w:tc>
          <w:tcPr>
            <w:tcW w:w="7478" w:type="dxa"/>
            <w:noWrap w:val="0"/>
            <w:vAlign w:val="center"/>
          </w:tcPr>
          <w:p>
            <w:pPr>
              <w:keepNext w:val="0"/>
              <w:keepLines w:val="0"/>
              <w:pageBreakBefore w:val="0"/>
              <w:widowControl/>
              <w:bidi w:val="0"/>
              <w:spacing w:line="240" w:lineRule="auto"/>
              <w:jc w:val="both"/>
              <w:rPr>
                <w:rFonts w:hint="default" w:ascii="楷体" w:hAnsi="楷体" w:eastAsia="楷体" w:cs="楷体"/>
                <w:bCs/>
                <w:color w:val="000000" w:themeColor="text1"/>
                <w:sz w:val="20"/>
                <w:szCs w:val="20"/>
                <w:highlight w:val="none"/>
                <w:lang w:val="en-US" w:eastAsia="zh-CN"/>
                <w14:textFill>
                  <w14:solidFill>
                    <w14:schemeClr w14:val="tx1"/>
                  </w14:solidFill>
                </w14:textFill>
              </w:rPr>
            </w:pPr>
            <w:r>
              <w:rPr>
                <w:rFonts w:hint="eastAsia" w:ascii="楷体" w:hAnsi="楷体" w:eastAsia="楷体" w:cs="楷体"/>
                <w:bCs/>
                <w:color w:val="000000" w:themeColor="text1"/>
                <w:sz w:val="20"/>
                <w:szCs w:val="20"/>
                <w:highlight w:val="none"/>
                <w:lang w:val="en-US" w:eastAsia="zh-CN"/>
                <w14:textFill>
                  <w14:solidFill>
                    <w14:schemeClr w14:val="tx1"/>
                  </w14:solidFill>
                </w14:textFill>
              </w:rPr>
              <w:t>若产品各份额实际投资收益在扣除托管费、销售服务费、投资管理费等费用后超过各份额业绩比较基准下限，产品管理人将按照超出部分的50%收取超额业绩报酬。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178" w:type="dxa"/>
            <w:noWrap w:val="0"/>
            <w:vAlign w:val="center"/>
          </w:tcPr>
          <w:p>
            <w:pPr>
              <w:keepNext w:val="0"/>
              <w:keepLines w:val="0"/>
              <w:pageBreakBefore w:val="0"/>
              <w:widowControl/>
              <w:bidi w:val="0"/>
              <w:spacing w:line="240" w:lineRule="auto"/>
              <w:jc w:val="center"/>
              <w:rPr>
                <w:rFonts w:hint="eastAsia" w:ascii="楷体" w:hAnsi="楷体" w:eastAsia="楷体" w:cs="楷体"/>
                <w:b/>
                <w:bCs/>
                <w:color w:val="000000" w:themeColor="text1"/>
                <w:sz w:val="20"/>
                <w:szCs w:val="20"/>
                <w:highlight w:val="none"/>
                <w14:textFill>
                  <w14:solidFill>
                    <w14:schemeClr w14:val="tx1"/>
                  </w14:solidFill>
                </w14:textFill>
              </w:rPr>
            </w:pPr>
            <w:r>
              <w:rPr>
                <w:rFonts w:hint="eastAsia" w:ascii="楷体" w:hAnsi="楷体" w:eastAsia="楷体" w:cs="楷体"/>
                <w:b/>
                <w:bCs/>
                <w:color w:val="000000" w:themeColor="text1"/>
                <w:sz w:val="20"/>
                <w:szCs w:val="20"/>
                <w:highlight w:val="none"/>
                <w14:textFill>
                  <w14:solidFill>
                    <w14:schemeClr w14:val="tx1"/>
                  </w14:solidFill>
                </w14:textFill>
              </w:rPr>
              <w:t>认购费率</w:t>
            </w:r>
          </w:p>
        </w:tc>
        <w:tc>
          <w:tcPr>
            <w:tcW w:w="7478" w:type="dxa"/>
            <w:noWrap w:val="0"/>
            <w:vAlign w:val="center"/>
          </w:tcPr>
          <w:p>
            <w:pPr>
              <w:keepNext w:val="0"/>
              <w:keepLines w:val="0"/>
              <w:pageBreakBefore w:val="0"/>
              <w:widowControl/>
              <w:bidi w:val="0"/>
              <w:spacing w:line="240" w:lineRule="auto"/>
              <w:jc w:val="both"/>
              <w:rPr>
                <w:rFonts w:hint="default" w:ascii="楷体" w:hAnsi="楷体" w:eastAsia="楷体" w:cs="楷体"/>
                <w:bCs/>
                <w:color w:val="000000" w:themeColor="text1"/>
                <w:sz w:val="20"/>
                <w:szCs w:val="20"/>
                <w:highlight w:val="none"/>
                <w:lang w:val="en-US" w:eastAsia="zh-CN"/>
                <w14:textFill>
                  <w14:solidFill>
                    <w14:schemeClr w14:val="tx1"/>
                  </w14:solidFill>
                </w14:textFill>
              </w:rPr>
            </w:pPr>
            <w:r>
              <w:rPr>
                <w:rFonts w:hint="eastAsia" w:ascii="楷体" w:hAnsi="楷体" w:eastAsia="楷体" w:cs="楷体"/>
                <w:bCs/>
                <w:color w:val="000000" w:themeColor="text1"/>
                <w:sz w:val="20"/>
                <w:szCs w:val="20"/>
                <w:highlight w:val="none"/>
                <w:lang w:val="en-US" w:eastAsia="zh-CN"/>
                <w14:textFill>
                  <w14:solidFill>
                    <w14:schemeClr w14:val="tx1"/>
                  </w14:solidFill>
                </w14:textFill>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178" w:type="dxa"/>
            <w:noWrap w:val="0"/>
            <w:vAlign w:val="center"/>
          </w:tcPr>
          <w:p>
            <w:pPr>
              <w:keepNext w:val="0"/>
              <w:keepLines w:val="0"/>
              <w:pageBreakBefore w:val="0"/>
              <w:widowControl/>
              <w:bidi w:val="0"/>
              <w:spacing w:line="240" w:lineRule="auto"/>
              <w:jc w:val="center"/>
              <w:rPr>
                <w:rFonts w:hint="eastAsia" w:ascii="楷体" w:hAnsi="楷体" w:eastAsia="楷体" w:cs="楷体"/>
                <w:b/>
                <w:bCs/>
                <w:color w:val="000000" w:themeColor="text1"/>
                <w:sz w:val="20"/>
                <w:szCs w:val="20"/>
                <w:highlight w:val="none"/>
                <w14:textFill>
                  <w14:solidFill>
                    <w14:schemeClr w14:val="tx1"/>
                  </w14:solidFill>
                </w14:textFill>
              </w:rPr>
            </w:pPr>
            <w:r>
              <w:rPr>
                <w:rFonts w:hint="eastAsia" w:ascii="楷体" w:hAnsi="楷体" w:eastAsia="楷体" w:cs="楷体"/>
                <w:b/>
                <w:bCs/>
                <w:color w:val="000000" w:themeColor="text1"/>
                <w:sz w:val="20"/>
                <w:szCs w:val="20"/>
                <w:highlight w:val="none"/>
                <w14:textFill>
                  <w14:solidFill>
                    <w14:schemeClr w14:val="tx1"/>
                  </w14:solidFill>
                </w14:textFill>
              </w:rPr>
              <w:t>申购费率</w:t>
            </w:r>
          </w:p>
        </w:tc>
        <w:tc>
          <w:tcPr>
            <w:tcW w:w="7478" w:type="dxa"/>
            <w:noWrap w:val="0"/>
            <w:vAlign w:val="center"/>
          </w:tcPr>
          <w:p>
            <w:pPr>
              <w:keepNext w:val="0"/>
              <w:keepLines w:val="0"/>
              <w:pageBreakBefore w:val="0"/>
              <w:widowControl/>
              <w:bidi w:val="0"/>
              <w:spacing w:line="240" w:lineRule="auto"/>
              <w:jc w:val="both"/>
              <w:rPr>
                <w:rFonts w:hint="eastAsia" w:ascii="楷体" w:hAnsi="楷体" w:eastAsia="楷体" w:cs="楷体"/>
                <w:bCs/>
                <w:color w:val="000000" w:themeColor="text1"/>
                <w:sz w:val="20"/>
                <w:szCs w:val="20"/>
                <w:highlight w:val="none"/>
                <w14:textFill>
                  <w14:solidFill>
                    <w14:schemeClr w14:val="tx1"/>
                  </w14:solidFill>
                </w14:textFill>
              </w:rPr>
            </w:pPr>
            <w:r>
              <w:rPr>
                <w:rFonts w:hint="eastAsia" w:ascii="楷体" w:hAnsi="楷体" w:eastAsia="楷体" w:cs="楷体"/>
                <w:bCs/>
                <w:color w:val="000000" w:themeColor="text1"/>
                <w:sz w:val="20"/>
                <w:szCs w:val="20"/>
                <w:highlight w:val="none"/>
                <w:lang w:val="en-US" w:eastAsia="zh-CN"/>
                <w14:textFill>
                  <w14:solidFill>
                    <w14:schemeClr w14:val="tx1"/>
                  </w14:solidFill>
                </w14:textFill>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178" w:type="dxa"/>
            <w:noWrap w:val="0"/>
            <w:vAlign w:val="center"/>
          </w:tcPr>
          <w:p>
            <w:pPr>
              <w:keepNext w:val="0"/>
              <w:keepLines w:val="0"/>
              <w:pageBreakBefore w:val="0"/>
              <w:widowControl/>
              <w:bidi w:val="0"/>
              <w:spacing w:line="240" w:lineRule="auto"/>
              <w:jc w:val="center"/>
              <w:rPr>
                <w:rFonts w:hint="eastAsia" w:ascii="楷体" w:hAnsi="楷体" w:eastAsia="楷体" w:cs="楷体"/>
                <w:b/>
                <w:bCs/>
                <w:color w:val="000000" w:themeColor="text1"/>
                <w:sz w:val="20"/>
                <w:szCs w:val="20"/>
                <w:highlight w:val="none"/>
                <w14:textFill>
                  <w14:solidFill>
                    <w14:schemeClr w14:val="tx1"/>
                  </w14:solidFill>
                </w14:textFill>
              </w:rPr>
            </w:pPr>
            <w:r>
              <w:rPr>
                <w:rFonts w:hint="eastAsia" w:ascii="楷体" w:hAnsi="楷体" w:eastAsia="楷体" w:cs="楷体"/>
                <w:b/>
                <w:bCs/>
                <w:color w:val="000000" w:themeColor="text1"/>
                <w:sz w:val="20"/>
                <w:szCs w:val="20"/>
                <w:highlight w:val="none"/>
                <w14:textFill>
                  <w14:solidFill>
                    <w14:schemeClr w14:val="tx1"/>
                  </w14:solidFill>
                </w14:textFill>
              </w:rPr>
              <w:t>赎回费率</w:t>
            </w:r>
          </w:p>
        </w:tc>
        <w:tc>
          <w:tcPr>
            <w:tcW w:w="7478" w:type="dxa"/>
            <w:noWrap w:val="0"/>
            <w:vAlign w:val="center"/>
          </w:tcPr>
          <w:p>
            <w:pPr>
              <w:keepNext w:val="0"/>
              <w:keepLines w:val="0"/>
              <w:pageBreakBefore w:val="0"/>
              <w:widowControl/>
              <w:bidi w:val="0"/>
              <w:spacing w:line="240" w:lineRule="auto"/>
              <w:jc w:val="both"/>
              <w:rPr>
                <w:rFonts w:hint="eastAsia" w:ascii="楷体" w:hAnsi="楷体" w:eastAsia="楷体" w:cs="楷体"/>
                <w:bCs/>
                <w:color w:val="000000" w:themeColor="text1"/>
                <w:sz w:val="20"/>
                <w:szCs w:val="20"/>
                <w:highlight w:val="none"/>
                <w14:textFill>
                  <w14:solidFill>
                    <w14:schemeClr w14:val="tx1"/>
                  </w14:solidFill>
                </w14:textFill>
              </w:rPr>
            </w:pPr>
            <w:r>
              <w:rPr>
                <w:rFonts w:hint="eastAsia" w:ascii="楷体" w:hAnsi="楷体" w:eastAsia="楷体" w:cs="楷体"/>
                <w:bCs/>
                <w:color w:val="000000" w:themeColor="text1"/>
                <w:sz w:val="20"/>
                <w:szCs w:val="20"/>
                <w:highlight w:val="none"/>
                <w:lang w:val="en-US" w:eastAsia="zh-CN"/>
                <w14:textFill>
                  <w14:solidFill>
                    <w14:schemeClr w14:val="tx1"/>
                  </w14:solidFill>
                </w14:textFill>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178" w:type="dxa"/>
            <w:noWrap w:val="0"/>
            <w:vAlign w:val="center"/>
          </w:tcPr>
          <w:p>
            <w:pPr>
              <w:keepNext w:val="0"/>
              <w:keepLines w:val="0"/>
              <w:pageBreakBefore w:val="0"/>
              <w:widowControl/>
              <w:bidi w:val="0"/>
              <w:spacing w:line="240" w:lineRule="auto"/>
              <w:jc w:val="center"/>
              <w:rPr>
                <w:rFonts w:hint="eastAsia" w:ascii="楷体" w:hAnsi="楷体" w:eastAsia="楷体" w:cs="楷体"/>
                <w:b/>
                <w:bCs/>
                <w:color w:val="000000" w:themeColor="text1"/>
                <w:sz w:val="20"/>
                <w:szCs w:val="20"/>
                <w:highlight w:val="none"/>
                <w14:textFill>
                  <w14:solidFill>
                    <w14:schemeClr w14:val="tx1"/>
                  </w14:solidFill>
                </w14:textFill>
              </w:rPr>
            </w:pPr>
            <w:r>
              <w:rPr>
                <w:rFonts w:hint="eastAsia" w:ascii="楷体" w:hAnsi="楷体" w:eastAsia="楷体" w:cs="楷体"/>
                <w:b/>
                <w:bCs/>
                <w:color w:val="000000" w:themeColor="text1"/>
                <w:sz w:val="20"/>
                <w:szCs w:val="20"/>
                <w:highlight w:val="none"/>
                <w14:textFill>
                  <w14:solidFill>
                    <w14:schemeClr w14:val="tx1"/>
                  </w14:solidFill>
                </w14:textFill>
              </w:rPr>
              <w:t>其他费用说明</w:t>
            </w:r>
          </w:p>
        </w:tc>
        <w:tc>
          <w:tcPr>
            <w:tcW w:w="7478" w:type="dxa"/>
            <w:noWrap w:val="0"/>
            <w:vAlign w:val="center"/>
          </w:tcPr>
          <w:p>
            <w:pPr>
              <w:keepNext w:val="0"/>
              <w:keepLines w:val="0"/>
              <w:pageBreakBefore w:val="0"/>
              <w:widowControl/>
              <w:bidi w:val="0"/>
              <w:spacing w:line="240" w:lineRule="auto"/>
              <w:jc w:val="both"/>
              <w:rPr>
                <w:rFonts w:hint="eastAsia" w:ascii="楷体" w:hAnsi="楷体" w:eastAsia="楷体" w:cs="楷体"/>
                <w:bCs/>
                <w:color w:val="000000" w:themeColor="text1"/>
                <w:sz w:val="20"/>
                <w:szCs w:val="20"/>
                <w:highlight w:val="none"/>
                <w:lang w:val="en-US" w:eastAsia="zh-CN"/>
                <w14:textFill>
                  <w14:solidFill>
                    <w14:schemeClr w14:val="tx1"/>
                  </w14:solidFill>
                </w14:textFill>
              </w:rPr>
            </w:pPr>
            <w:r>
              <w:rPr>
                <w:rFonts w:hint="eastAsia" w:ascii="楷体" w:hAnsi="楷体" w:eastAsia="楷体" w:cs="楷体"/>
                <w:bCs/>
                <w:color w:val="000000" w:themeColor="text1"/>
                <w:sz w:val="20"/>
                <w:szCs w:val="20"/>
                <w:highlight w:val="none"/>
                <w:lang w:val="en-US" w:eastAsia="zh-CN"/>
                <w14:textFill>
                  <w14:solidFill>
                    <w14:schemeClr w14:val="tx1"/>
                  </w14:solidFill>
                </w14:textFill>
              </w:rPr>
              <w:t>（一）收费项目</w:t>
            </w:r>
          </w:p>
          <w:p>
            <w:pPr>
              <w:keepNext w:val="0"/>
              <w:keepLines w:val="0"/>
              <w:pageBreakBefore w:val="0"/>
              <w:widowControl/>
              <w:bidi w:val="0"/>
              <w:spacing w:line="240" w:lineRule="auto"/>
              <w:jc w:val="both"/>
              <w:rPr>
                <w:rFonts w:hint="eastAsia" w:ascii="楷体" w:hAnsi="楷体" w:eastAsia="楷体" w:cs="楷体"/>
                <w:bCs/>
                <w:color w:val="000000" w:themeColor="text1"/>
                <w:sz w:val="20"/>
                <w:szCs w:val="20"/>
                <w:highlight w:val="none"/>
                <w:lang w:val="en-US" w:eastAsia="zh-CN"/>
                <w14:textFill>
                  <w14:solidFill>
                    <w14:schemeClr w14:val="tx1"/>
                  </w14:solidFill>
                </w14:textFill>
              </w:rPr>
            </w:pPr>
            <w:r>
              <w:rPr>
                <w:rFonts w:hint="eastAsia" w:ascii="楷体" w:hAnsi="楷体" w:eastAsia="楷体" w:cs="楷体"/>
                <w:bCs/>
                <w:color w:val="000000" w:themeColor="text1"/>
                <w:sz w:val="20"/>
                <w:szCs w:val="20"/>
                <w:highlight w:val="none"/>
                <w:lang w:val="en-US" w:eastAsia="zh-CN"/>
                <w14:textFill>
                  <w14:solidFill>
                    <w14:schemeClr w14:val="tx1"/>
                  </w14:solidFill>
                </w14:textFill>
              </w:rPr>
              <w:t>本产品费用包括托管费、销售服务费、固定管理费、浮动管理费（如有）以及产品运作和清算中产生的其他费用等。</w:t>
            </w:r>
          </w:p>
          <w:p>
            <w:pPr>
              <w:keepNext w:val="0"/>
              <w:keepLines w:val="0"/>
              <w:pageBreakBefore w:val="0"/>
              <w:widowControl/>
              <w:bidi w:val="0"/>
              <w:spacing w:line="240" w:lineRule="auto"/>
              <w:jc w:val="both"/>
              <w:rPr>
                <w:rFonts w:hint="eastAsia" w:ascii="楷体" w:hAnsi="楷体" w:eastAsia="楷体" w:cs="楷体"/>
                <w:bCs/>
                <w:color w:val="000000" w:themeColor="text1"/>
                <w:sz w:val="20"/>
                <w:szCs w:val="20"/>
                <w:highlight w:val="none"/>
                <w:lang w:val="en-US" w:eastAsia="zh-CN"/>
                <w14:textFill>
                  <w14:solidFill>
                    <w14:schemeClr w14:val="tx1"/>
                  </w14:solidFill>
                </w14:textFill>
              </w:rPr>
            </w:pPr>
          </w:p>
          <w:p>
            <w:pPr>
              <w:keepNext w:val="0"/>
              <w:keepLines w:val="0"/>
              <w:pageBreakBefore w:val="0"/>
              <w:widowControl/>
              <w:bidi w:val="0"/>
              <w:spacing w:line="240" w:lineRule="auto"/>
              <w:jc w:val="both"/>
              <w:rPr>
                <w:rFonts w:hint="default" w:ascii="楷体" w:hAnsi="楷体" w:eastAsia="楷体" w:cs="楷体"/>
                <w:bCs/>
                <w:color w:val="000000" w:themeColor="text1"/>
                <w:sz w:val="20"/>
                <w:szCs w:val="20"/>
                <w:highlight w:val="none"/>
                <w:lang w:val="en-US" w:eastAsia="zh-CN"/>
                <w14:textFill>
                  <w14:solidFill>
                    <w14:schemeClr w14:val="tx1"/>
                  </w14:solidFill>
                </w14:textFill>
              </w:rPr>
            </w:pPr>
            <w:r>
              <w:rPr>
                <w:rFonts w:hint="eastAsia" w:ascii="楷体" w:hAnsi="楷体" w:eastAsia="楷体" w:cs="楷体"/>
                <w:bCs/>
                <w:color w:val="000000" w:themeColor="text1"/>
                <w:sz w:val="20"/>
                <w:szCs w:val="20"/>
                <w:highlight w:val="none"/>
                <w:lang w:val="en-US" w:eastAsia="zh-CN"/>
                <w14:textFill>
                  <w14:solidFill>
                    <w14:schemeClr w14:val="tx1"/>
                  </w14:solidFill>
                </w14:textFill>
              </w:rPr>
              <w:t>（二）收费条件、收费标准和收费方式</w:t>
            </w:r>
          </w:p>
          <w:p>
            <w:pPr>
              <w:keepNext w:val="0"/>
              <w:keepLines w:val="0"/>
              <w:pageBreakBefore w:val="0"/>
              <w:widowControl/>
              <w:bidi w:val="0"/>
              <w:spacing w:line="240" w:lineRule="auto"/>
              <w:jc w:val="both"/>
              <w:rPr>
                <w:rFonts w:hint="eastAsia" w:ascii="楷体" w:hAnsi="楷体" w:eastAsia="楷体" w:cs="楷体"/>
                <w:b/>
                <w:bCs w:val="0"/>
                <w:color w:val="000000" w:themeColor="text1"/>
                <w:sz w:val="20"/>
                <w:szCs w:val="20"/>
                <w:highlight w:val="none"/>
                <w:u w:val="single"/>
                <w:lang w:val="en-US" w:eastAsia="zh-CN"/>
                <w14:textFill>
                  <w14:solidFill>
                    <w14:schemeClr w14:val="tx1"/>
                  </w14:solidFill>
                </w14:textFill>
              </w:rPr>
            </w:pPr>
            <w:r>
              <w:rPr>
                <w:rFonts w:hint="eastAsia" w:ascii="楷体" w:hAnsi="楷体" w:eastAsia="楷体" w:cs="楷体"/>
                <w:b/>
                <w:bCs w:val="0"/>
                <w:color w:val="000000" w:themeColor="text1"/>
                <w:sz w:val="20"/>
                <w:szCs w:val="20"/>
                <w:highlight w:val="none"/>
                <w:u w:val="single"/>
                <w:lang w:val="en-US" w:eastAsia="zh-CN"/>
                <w14:textFill>
                  <w14:solidFill>
                    <w14:schemeClr w14:val="tx1"/>
                  </w14:solidFill>
                </w14:textFill>
              </w:rPr>
              <w:t>销售服务费</w:t>
            </w:r>
          </w:p>
          <w:p>
            <w:pPr>
              <w:keepNext w:val="0"/>
              <w:keepLines w:val="0"/>
              <w:pageBreakBefore w:val="0"/>
              <w:widowControl/>
              <w:bidi w:val="0"/>
              <w:spacing w:line="240" w:lineRule="auto"/>
              <w:jc w:val="both"/>
              <w:rPr>
                <w:rFonts w:hint="eastAsia" w:ascii="楷体" w:hAnsi="楷体" w:eastAsia="楷体" w:cs="楷体"/>
                <w:bCs/>
                <w:color w:val="000000" w:themeColor="text1"/>
                <w:sz w:val="20"/>
                <w:szCs w:val="20"/>
                <w:highlight w:val="none"/>
                <w:lang w:val="en-US" w:eastAsia="zh-CN"/>
                <w14:textFill>
                  <w14:solidFill>
                    <w14:schemeClr w14:val="tx1"/>
                  </w14:solidFill>
                </w14:textFill>
              </w:rPr>
            </w:pPr>
            <w:r>
              <w:rPr>
                <w:rFonts w:hint="eastAsia" w:ascii="楷体" w:hAnsi="楷体" w:eastAsia="楷体" w:cs="楷体"/>
                <w:bCs/>
                <w:color w:val="000000" w:themeColor="text1"/>
                <w:sz w:val="20"/>
                <w:szCs w:val="20"/>
                <w:highlight w:val="none"/>
                <w:lang w:val="en-US" w:eastAsia="zh-CN"/>
                <w14:textFill>
                  <w14:solidFill>
                    <w14:schemeClr w14:val="tx1"/>
                  </w14:solidFill>
                </w14:textFill>
              </w:rPr>
              <w:t>A份额：以前一自然日资产净值为基数，每日计提模式；</w:t>
            </w:r>
          </w:p>
          <w:p>
            <w:pPr>
              <w:keepNext w:val="0"/>
              <w:keepLines w:val="0"/>
              <w:pageBreakBefore w:val="0"/>
              <w:widowControl/>
              <w:bidi w:val="0"/>
              <w:spacing w:line="240" w:lineRule="auto"/>
              <w:jc w:val="both"/>
              <w:rPr>
                <w:rFonts w:hint="eastAsia" w:ascii="楷体" w:hAnsi="楷体" w:eastAsia="楷体" w:cs="楷体"/>
                <w:bCs/>
                <w:color w:val="000000" w:themeColor="text1"/>
                <w:sz w:val="20"/>
                <w:szCs w:val="20"/>
                <w:highlight w:val="none"/>
                <w:lang w:val="en-US" w:eastAsia="zh-CN"/>
                <w14:textFill>
                  <w14:solidFill>
                    <w14:schemeClr w14:val="tx1"/>
                  </w14:solidFill>
                </w14:textFill>
              </w:rPr>
            </w:pPr>
            <w:r>
              <w:rPr>
                <w:rFonts w:hint="eastAsia" w:ascii="楷体" w:hAnsi="楷体" w:eastAsia="楷体" w:cs="楷体"/>
                <w:bCs/>
                <w:color w:val="000000" w:themeColor="text1"/>
                <w:sz w:val="20"/>
                <w:szCs w:val="20"/>
                <w:highlight w:val="none"/>
                <w:lang w:val="en-US" w:eastAsia="zh-CN"/>
                <w14:textFill>
                  <w14:solidFill>
                    <w14:schemeClr w14:val="tx1"/>
                  </w14:solidFill>
                </w14:textFill>
              </w:rPr>
              <w:t>B份额：以前一自然日资产净值为基数，每日计提模式；</w:t>
            </w:r>
          </w:p>
          <w:p>
            <w:pPr>
              <w:keepNext w:val="0"/>
              <w:keepLines w:val="0"/>
              <w:pageBreakBefore w:val="0"/>
              <w:widowControl/>
              <w:bidi w:val="0"/>
              <w:spacing w:line="240" w:lineRule="auto"/>
              <w:jc w:val="both"/>
              <w:rPr>
                <w:rFonts w:hint="eastAsia" w:ascii="楷体" w:hAnsi="楷体" w:eastAsia="楷体" w:cs="楷体"/>
                <w:bCs/>
                <w:color w:val="000000" w:themeColor="text1"/>
                <w:sz w:val="20"/>
                <w:szCs w:val="20"/>
                <w:highlight w:val="none"/>
                <w:lang w:val="en-US" w:eastAsia="zh-CN"/>
                <w14:textFill>
                  <w14:solidFill>
                    <w14:schemeClr w14:val="tx1"/>
                  </w14:solidFill>
                </w14:textFill>
              </w:rPr>
            </w:pPr>
            <w:r>
              <w:rPr>
                <w:rFonts w:hint="eastAsia" w:ascii="楷体" w:hAnsi="楷体" w:eastAsia="楷体" w:cs="楷体"/>
                <w:bCs/>
                <w:color w:val="000000" w:themeColor="text1"/>
                <w:sz w:val="20"/>
                <w:szCs w:val="20"/>
                <w:highlight w:val="none"/>
                <w:lang w:val="en-US" w:eastAsia="zh-CN"/>
                <w14:textFill>
                  <w14:solidFill>
                    <w14:schemeClr w14:val="tx1"/>
                  </w14:solidFill>
                </w14:textFill>
              </w:rPr>
              <w:t>C份额：以前一自然日资产净值为基数，每日计提模式；</w:t>
            </w:r>
          </w:p>
          <w:p>
            <w:pPr>
              <w:keepNext w:val="0"/>
              <w:keepLines w:val="0"/>
              <w:pageBreakBefore w:val="0"/>
              <w:widowControl/>
              <w:bidi w:val="0"/>
              <w:spacing w:line="240" w:lineRule="auto"/>
              <w:jc w:val="both"/>
              <w:rPr>
                <w:rFonts w:hint="eastAsia" w:ascii="楷体" w:hAnsi="楷体" w:eastAsia="楷体" w:cs="楷体"/>
                <w:bCs/>
                <w:color w:val="000000" w:themeColor="text1"/>
                <w:sz w:val="20"/>
                <w:szCs w:val="20"/>
                <w:highlight w:val="none"/>
                <w:lang w:val="en-US" w:eastAsia="zh-CN"/>
                <w14:textFill>
                  <w14:solidFill>
                    <w14:schemeClr w14:val="tx1"/>
                  </w14:solidFill>
                </w14:textFill>
              </w:rPr>
            </w:pPr>
            <w:r>
              <w:rPr>
                <w:rFonts w:hint="eastAsia" w:ascii="楷体" w:hAnsi="楷体" w:eastAsia="楷体" w:cs="楷体"/>
                <w:bCs/>
                <w:color w:val="000000" w:themeColor="text1"/>
                <w:sz w:val="20"/>
                <w:szCs w:val="20"/>
                <w:highlight w:val="none"/>
                <w:lang w:val="en-US" w:eastAsia="zh-CN"/>
                <w14:textFill>
                  <w14:solidFill>
                    <w14:schemeClr w14:val="tx1"/>
                  </w14:solidFill>
                </w14:textFill>
              </w:rPr>
              <w:t>D份额：以前一自然日资产净值为基数，一次性计提模式；</w:t>
            </w:r>
          </w:p>
          <w:p>
            <w:pPr>
              <w:keepNext w:val="0"/>
              <w:keepLines w:val="0"/>
              <w:pageBreakBefore w:val="0"/>
              <w:widowControl/>
              <w:bidi w:val="0"/>
              <w:spacing w:line="240" w:lineRule="auto"/>
              <w:jc w:val="both"/>
              <w:rPr>
                <w:rFonts w:hint="eastAsia" w:ascii="楷体" w:hAnsi="楷体" w:eastAsia="楷体" w:cs="楷体"/>
                <w:bCs/>
                <w:color w:val="000000" w:themeColor="text1"/>
                <w:sz w:val="20"/>
                <w:szCs w:val="20"/>
                <w:highlight w:val="none"/>
                <w:lang w:val="en-US" w:eastAsia="zh-CN"/>
                <w14:textFill>
                  <w14:solidFill>
                    <w14:schemeClr w14:val="tx1"/>
                  </w14:solidFill>
                </w14:textFill>
              </w:rPr>
            </w:pPr>
            <w:r>
              <w:rPr>
                <w:rFonts w:hint="eastAsia" w:ascii="楷体" w:hAnsi="楷体" w:eastAsia="楷体" w:cs="楷体"/>
                <w:bCs/>
                <w:color w:val="000000" w:themeColor="text1"/>
                <w:sz w:val="20"/>
                <w:szCs w:val="20"/>
                <w:highlight w:val="none"/>
                <w:lang w:val="en-US" w:eastAsia="zh-CN"/>
                <w14:textFill>
                  <w14:solidFill>
                    <w14:schemeClr w14:val="tx1"/>
                  </w14:solidFill>
                </w14:textFill>
              </w:rPr>
              <w:t>E份额：以前一自然日资产净值为基数，每日计提模式；</w:t>
            </w:r>
          </w:p>
          <w:p>
            <w:pPr>
              <w:keepNext w:val="0"/>
              <w:keepLines w:val="0"/>
              <w:pageBreakBefore w:val="0"/>
              <w:widowControl/>
              <w:bidi w:val="0"/>
              <w:spacing w:line="240" w:lineRule="auto"/>
              <w:jc w:val="both"/>
              <w:rPr>
                <w:rFonts w:hint="eastAsia" w:ascii="楷体" w:hAnsi="楷体" w:eastAsia="楷体" w:cs="楷体"/>
                <w:bCs/>
                <w:color w:val="000000" w:themeColor="text1"/>
                <w:sz w:val="20"/>
                <w:szCs w:val="20"/>
                <w:highlight w:val="none"/>
                <w:lang w:val="en-US" w:eastAsia="zh-CN"/>
                <w14:textFill>
                  <w14:solidFill>
                    <w14:schemeClr w14:val="tx1"/>
                  </w14:solidFill>
                </w14:textFill>
              </w:rPr>
            </w:pPr>
            <w:r>
              <w:rPr>
                <w:rFonts w:hint="eastAsia" w:ascii="楷体" w:hAnsi="楷体" w:eastAsia="楷体" w:cs="楷体"/>
                <w:bCs/>
                <w:color w:val="000000" w:themeColor="text1"/>
                <w:sz w:val="20"/>
                <w:szCs w:val="20"/>
                <w:highlight w:val="none"/>
                <w:lang w:val="en-US" w:eastAsia="zh-CN"/>
                <w14:textFill>
                  <w14:solidFill>
                    <w14:schemeClr w14:val="tx1"/>
                  </w14:solidFill>
                </w14:textFill>
              </w:rPr>
              <w:t>F份额：以前一自然日资产净值为基数，每日计提模式；</w:t>
            </w:r>
          </w:p>
          <w:p>
            <w:pPr>
              <w:keepNext w:val="0"/>
              <w:keepLines w:val="0"/>
              <w:pageBreakBefore w:val="0"/>
              <w:widowControl/>
              <w:bidi w:val="0"/>
              <w:spacing w:line="240" w:lineRule="auto"/>
              <w:jc w:val="both"/>
              <w:rPr>
                <w:rFonts w:hint="eastAsia" w:ascii="楷体" w:hAnsi="楷体" w:eastAsia="楷体" w:cs="楷体"/>
                <w:bCs/>
                <w:color w:val="000000" w:themeColor="text1"/>
                <w:sz w:val="20"/>
                <w:szCs w:val="20"/>
                <w:highlight w:val="none"/>
                <w:lang w:val="en-US" w:eastAsia="zh-CN"/>
                <w14:textFill>
                  <w14:solidFill>
                    <w14:schemeClr w14:val="tx1"/>
                  </w14:solidFill>
                </w14:textFill>
              </w:rPr>
            </w:pPr>
            <w:r>
              <w:rPr>
                <w:rFonts w:hint="eastAsia" w:ascii="楷体" w:hAnsi="楷体" w:eastAsia="楷体" w:cs="楷体"/>
                <w:bCs/>
                <w:color w:val="000000" w:themeColor="text1"/>
                <w:sz w:val="20"/>
                <w:szCs w:val="20"/>
                <w:highlight w:val="none"/>
                <w:lang w:val="en-US" w:eastAsia="zh-CN"/>
                <w14:textFill>
                  <w14:solidFill>
                    <w14:schemeClr w14:val="tx1"/>
                  </w14:solidFill>
                </w14:textFill>
              </w:rPr>
              <w:t>H份额：以前一自然日资产净值为基数，一次性计提模式；</w:t>
            </w:r>
          </w:p>
          <w:p>
            <w:pPr>
              <w:keepNext w:val="0"/>
              <w:keepLines w:val="0"/>
              <w:pageBreakBefore w:val="0"/>
              <w:widowControl/>
              <w:bidi w:val="0"/>
              <w:spacing w:line="240" w:lineRule="auto"/>
              <w:jc w:val="both"/>
              <w:rPr>
                <w:rFonts w:hint="eastAsia" w:ascii="楷体" w:hAnsi="楷体" w:eastAsia="楷体" w:cs="楷体"/>
                <w:bCs/>
                <w:color w:val="000000" w:themeColor="text1"/>
                <w:sz w:val="20"/>
                <w:szCs w:val="20"/>
                <w:highlight w:val="none"/>
                <w:lang w:val="en-US" w:eastAsia="zh-CN"/>
                <w14:textFill>
                  <w14:solidFill>
                    <w14:schemeClr w14:val="tx1"/>
                  </w14:solidFill>
                </w14:textFill>
              </w:rPr>
            </w:pPr>
            <w:r>
              <w:rPr>
                <w:rFonts w:hint="eastAsia" w:ascii="楷体" w:hAnsi="楷体" w:eastAsia="楷体" w:cs="楷体"/>
                <w:bCs/>
                <w:color w:val="000000" w:themeColor="text1"/>
                <w:sz w:val="20"/>
                <w:szCs w:val="20"/>
                <w:highlight w:val="none"/>
                <w:lang w:val="en-US" w:eastAsia="zh-CN"/>
                <w14:textFill>
                  <w14:solidFill>
                    <w14:schemeClr w14:val="tx1"/>
                  </w14:solidFill>
                </w14:textFill>
              </w:rPr>
              <w:t>J份额：以前一自然日资产净值为基数，每日计提模式；</w:t>
            </w:r>
          </w:p>
          <w:p>
            <w:pPr>
              <w:keepNext w:val="0"/>
              <w:keepLines w:val="0"/>
              <w:pageBreakBefore w:val="0"/>
              <w:widowControl/>
              <w:bidi w:val="0"/>
              <w:spacing w:line="240" w:lineRule="auto"/>
              <w:jc w:val="both"/>
              <w:rPr>
                <w:rFonts w:hint="eastAsia" w:ascii="楷体" w:hAnsi="楷体" w:eastAsia="楷体" w:cs="楷体"/>
                <w:bCs/>
                <w:color w:val="000000" w:themeColor="text1"/>
                <w:sz w:val="20"/>
                <w:szCs w:val="20"/>
                <w:highlight w:val="none"/>
                <w:lang w:val="en-US" w:eastAsia="zh-CN"/>
                <w14:textFill>
                  <w14:solidFill>
                    <w14:schemeClr w14:val="tx1"/>
                  </w14:solidFill>
                </w14:textFill>
              </w:rPr>
            </w:pPr>
            <w:r>
              <w:rPr>
                <w:rFonts w:hint="eastAsia" w:ascii="楷体" w:hAnsi="楷体" w:eastAsia="楷体" w:cs="楷体"/>
                <w:bCs/>
                <w:color w:val="000000" w:themeColor="text1"/>
                <w:sz w:val="20"/>
                <w:szCs w:val="20"/>
                <w:highlight w:val="none"/>
                <w:lang w:val="en-US" w:eastAsia="zh-CN"/>
                <w14:textFill>
                  <w14:solidFill>
                    <w14:schemeClr w14:val="tx1"/>
                  </w14:solidFill>
                </w14:textFill>
              </w:rPr>
              <w:t>K份额：以前一自然日资产净值为基数，每日计提模式；</w:t>
            </w:r>
          </w:p>
          <w:p>
            <w:pPr>
              <w:keepNext w:val="0"/>
              <w:keepLines w:val="0"/>
              <w:pageBreakBefore w:val="0"/>
              <w:widowControl/>
              <w:bidi w:val="0"/>
              <w:spacing w:line="240" w:lineRule="auto"/>
              <w:jc w:val="both"/>
              <w:rPr>
                <w:rFonts w:hint="eastAsia" w:ascii="楷体" w:hAnsi="楷体" w:eastAsia="楷体" w:cs="楷体"/>
                <w:bCs/>
                <w:color w:val="000000" w:themeColor="text1"/>
                <w:sz w:val="20"/>
                <w:szCs w:val="20"/>
                <w:highlight w:val="none"/>
                <w:lang w:val="en-US" w:eastAsia="zh-CN"/>
                <w14:textFill>
                  <w14:solidFill>
                    <w14:schemeClr w14:val="tx1"/>
                  </w14:solidFill>
                </w14:textFill>
              </w:rPr>
            </w:pPr>
            <w:r>
              <w:rPr>
                <w:rFonts w:hint="eastAsia" w:ascii="楷体" w:hAnsi="楷体" w:eastAsia="楷体" w:cs="楷体"/>
                <w:bCs/>
                <w:color w:val="000000" w:themeColor="text1"/>
                <w:sz w:val="20"/>
                <w:szCs w:val="20"/>
                <w:highlight w:val="none"/>
                <w:lang w:val="en-US" w:eastAsia="zh-CN"/>
                <w14:textFill>
                  <w14:solidFill>
                    <w14:schemeClr w14:val="tx1"/>
                  </w14:solidFill>
                </w14:textFill>
              </w:rPr>
              <w:t>L份额：以前一自然日资产净值为基数，每日计提模式；</w:t>
            </w:r>
          </w:p>
          <w:p>
            <w:pPr>
              <w:keepNext w:val="0"/>
              <w:keepLines w:val="0"/>
              <w:pageBreakBefore w:val="0"/>
              <w:widowControl/>
              <w:bidi w:val="0"/>
              <w:spacing w:line="240" w:lineRule="auto"/>
              <w:jc w:val="both"/>
              <w:rPr>
                <w:rFonts w:hint="eastAsia" w:ascii="楷体" w:hAnsi="楷体" w:eastAsia="楷体" w:cs="楷体"/>
                <w:bCs/>
                <w:color w:val="000000" w:themeColor="text1"/>
                <w:sz w:val="20"/>
                <w:szCs w:val="20"/>
                <w:highlight w:val="none"/>
                <w:lang w:val="en-US" w:eastAsia="zh-CN"/>
                <w14:textFill>
                  <w14:solidFill>
                    <w14:schemeClr w14:val="tx1"/>
                  </w14:solidFill>
                </w14:textFill>
              </w:rPr>
            </w:pPr>
            <w:r>
              <w:rPr>
                <w:rFonts w:hint="eastAsia" w:ascii="楷体" w:hAnsi="楷体" w:eastAsia="楷体" w:cs="楷体"/>
                <w:bCs/>
                <w:color w:val="000000" w:themeColor="text1"/>
                <w:sz w:val="20"/>
                <w:szCs w:val="20"/>
                <w:highlight w:val="none"/>
                <w:lang w:val="en-US" w:eastAsia="zh-CN"/>
                <w14:textFill>
                  <w14:solidFill>
                    <w14:schemeClr w14:val="tx1"/>
                  </w14:solidFill>
                </w14:textFill>
              </w:rPr>
              <w:t>N份额：以前一自然日资产净值为基数，每日计提模式；</w:t>
            </w:r>
          </w:p>
          <w:p>
            <w:pPr>
              <w:keepNext w:val="0"/>
              <w:keepLines w:val="0"/>
              <w:pageBreakBefore w:val="0"/>
              <w:widowControl/>
              <w:bidi w:val="0"/>
              <w:spacing w:line="240" w:lineRule="auto"/>
              <w:jc w:val="both"/>
              <w:rPr>
                <w:rFonts w:hint="eastAsia" w:ascii="楷体" w:hAnsi="楷体" w:eastAsia="楷体" w:cs="楷体"/>
                <w:bCs/>
                <w:color w:val="000000" w:themeColor="text1"/>
                <w:sz w:val="20"/>
                <w:szCs w:val="20"/>
                <w:highlight w:val="none"/>
                <w:lang w:val="en-US" w:eastAsia="zh-CN"/>
                <w14:textFill>
                  <w14:solidFill>
                    <w14:schemeClr w14:val="tx1"/>
                  </w14:solidFill>
                </w14:textFill>
              </w:rPr>
            </w:pPr>
            <w:r>
              <w:rPr>
                <w:rFonts w:hint="eastAsia" w:ascii="楷体" w:hAnsi="楷体" w:eastAsia="楷体" w:cs="楷体"/>
                <w:bCs/>
                <w:color w:val="000000" w:themeColor="text1"/>
                <w:sz w:val="20"/>
                <w:szCs w:val="20"/>
                <w:highlight w:val="none"/>
                <w:lang w:val="en-US" w:eastAsia="zh-CN"/>
                <w14:textFill>
                  <w14:solidFill>
                    <w14:schemeClr w14:val="tx1"/>
                  </w14:solidFill>
                </w14:textFill>
              </w:rPr>
              <w:t>P份额：以前一自然日资产净值为基数，每日计提模式；</w:t>
            </w:r>
          </w:p>
          <w:p>
            <w:pPr>
              <w:keepNext w:val="0"/>
              <w:keepLines w:val="0"/>
              <w:pageBreakBefore w:val="0"/>
              <w:widowControl/>
              <w:bidi w:val="0"/>
              <w:spacing w:line="240" w:lineRule="auto"/>
              <w:jc w:val="both"/>
              <w:rPr>
                <w:rFonts w:hint="eastAsia" w:ascii="楷体" w:hAnsi="楷体" w:eastAsia="楷体" w:cs="楷体"/>
                <w:bCs/>
                <w:color w:val="000000" w:themeColor="text1"/>
                <w:sz w:val="20"/>
                <w:szCs w:val="20"/>
                <w:highlight w:val="none"/>
                <w:lang w:val="en-US" w:eastAsia="zh-CN"/>
                <w14:textFill>
                  <w14:solidFill>
                    <w14:schemeClr w14:val="tx1"/>
                  </w14:solidFill>
                </w14:textFill>
              </w:rPr>
            </w:pPr>
            <w:r>
              <w:rPr>
                <w:rFonts w:hint="eastAsia" w:ascii="楷体" w:hAnsi="楷体" w:eastAsia="楷体" w:cs="楷体"/>
                <w:bCs/>
                <w:color w:val="000000" w:themeColor="text1"/>
                <w:sz w:val="20"/>
                <w:szCs w:val="20"/>
                <w:highlight w:val="none"/>
                <w:lang w:val="en-US" w:eastAsia="zh-CN"/>
                <w14:textFill>
                  <w14:solidFill>
                    <w14:schemeClr w14:val="tx1"/>
                  </w14:solidFill>
                </w14:textFill>
              </w:rPr>
              <w:t>JS份额：以前一自然日资产净值为基数，每日计提模式；</w:t>
            </w:r>
          </w:p>
          <w:p>
            <w:pPr>
              <w:keepNext w:val="0"/>
              <w:keepLines w:val="0"/>
              <w:pageBreakBefore w:val="0"/>
              <w:widowControl/>
              <w:bidi w:val="0"/>
              <w:spacing w:line="240" w:lineRule="auto"/>
              <w:jc w:val="both"/>
              <w:rPr>
                <w:rFonts w:hint="eastAsia" w:ascii="楷体" w:hAnsi="楷体" w:eastAsia="楷体" w:cs="楷体"/>
                <w:bCs/>
                <w:color w:val="000000" w:themeColor="text1"/>
                <w:sz w:val="20"/>
                <w:szCs w:val="20"/>
                <w:highlight w:val="none"/>
                <w:lang w:val="en-US" w:eastAsia="zh-CN"/>
                <w14:textFill>
                  <w14:solidFill>
                    <w14:schemeClr w14:val="tx1"/>
                  </w14:solidFill>
                </w14:textFill>
              </w:rPr>
            </w:pPr>
            <w:r>
              <w:rPr>
                <w:rFonts w:hint="eastAsia" w:ascii="楷体" w:hAnsi="楷体" w:eastAsia="楷体" w:cs="楷体"/>
                <w:bCs/>
                <w:color w:val="000000" w:themeColor="text1"/>
                <w:sz w:val="20"/>
                <w:szCs w:val="20"/>
                <w:highlight w:val="none"/>
                <w:lang w:val="en-US" w:eastAsia="zh-CN"/>
                <w14:textFill>
                  <w14:solidFill>
                    <w14:schemeClr w14:val="tx1"/>
                  </w14:solidFill>
                </w14:textFill>
              </w:rPr>
              <w:t>G份额：以前一自然日资产净值为基数，每日计提模式；</w:t>
            </w:r>
          </w:p>
          <w:p>
            <w:pPr>
              <w:keepNext w:val="0"/>
              <w:keepLines w:val="0"/>
              <w:pageBreakBefore w:val="0"/>
              <w:widowControl/>
              <w:bidi w:val="0"/>
              <w:spacing w:line="240" w:lineRule="auto"/>
              <w:jc w:val="both"/>
              <w:rPr>
                <w:rFonts w:hint="eastAsia" w:ascii="楷体" w:hAnsi="楷体" w:eastAsia="楷体" w:cs="楷体"/>
                <w:bCs/>
                <w:color w:val="000000" w:themeColor="text1"/>
                <w:sz w:val="20"/>
                <w:szCs w:val="20"/>
                <w:highlight w:val="none"/>
                <w:lang w:val="en-US" w:eastAsia="zh-CN"/>
                <w14:textFill>
                  <w14:solidFill>
                    <w14:schemeClr w14:val="tx1"/>
                  </w14:solidFill>
                </w14:textFill>
              </w:rPr>
            </w:pPr>
            <w:r>
              <w:rPr>
                <w:rFonts w:hint="eastAsia" w:ascii="楷体" w:hAnsi="楷体" w:eastAsia="楷体" w:cs="楷体"/>
                <w:bCs/>
                <w:color w:val="000000" w:themeColor="text1"/>
                <w:sz w:val="20"/>
                <w:szCs w:val="20"/>
                <w:highlight w:val="none"/>
                <w:lang w:val="en-US" w:eastAsia="zh-CN"/>
                <w14:textFill>
                  <w14:solidFill>
                    <w14:schemeClr w14:val="tx1"/>
                  </w14:solidFill>
                </w14:textFill>
              </w:rPr>
              <w:t>I份额：以前一自然日资产净值为基数，每日计提模式；</w:t>
            </w:r>
          </w:p>
          <w:p>
            <w:pPr>
              <w:keepNext w:val="0"/>
              <w:keepLines w:val="0"/>
              <w:pageBreakBefore w:val="0"/>
              <w:widowControl/>
              <w:bidi w:val="0"/>
              <w:spacing w:line="240" w:lineRule="auto"/>
              <w:jc w:val="both"/>
              <w:rPr>
                <w:rFonts w:hint="eastAsia" w:ascii="楷体" w:hAnsi="楷体" w:eastAsia="楷体" w:cs="楷体"/>
                <w:bCs/>
                <w:color w:val="000000" w:themeColor="text1"/>
                <w:sz w:val="20"/>
                <w:szCs w:val="20"/>
                <w:highlight w:val="none"/>
                <w:lang w:val="en-US" w:eastAsia="zh-CN"/>
                <w14:textFill>
                  <w14:solidFill>
                    <w14:schemeClr w14:val="tx1"/>
                  </w14:solidFill>
                </w14:textFill>
              </w:rPr>
            </w:pPr>
            <w:r>
              <w:rPr>
                <w:rFonts w:hint="eastAsia" w:ascii="楷体" w:hAnsi="楷体" w:eastAsia="楷体" w:cs="楷体"/>
                <w:bCs/>
                <w:color w:val="000000" w:themeColor="text1"/>
                <w:sz w:val="20"/>
                <w:szCs w:val="20"/>
                <w:highlight w:val="none"/>
                <w:lang w:val="en-US" w:eastAsia="zh-CN"/>
                <w14:textFill>
                  <w14:solidFill>
                    <w14:schemeClr w14:val="tx1"/>
                  </w14:solidFill>
                </w14:textFill>
              </w:rPr>
              <w:t>M份额：以前一自然日资产净值为基数，一次性计提模式；</w:t>
            </w:r>
          </w:p>
          <w:p>
            <w:pPr>
              <w:keepNext w:val="0"/>
              <w:keepLines w:val="0"/>
              <w:pageBreakBefore w:val="0"/>
              <w:widowControl/>
              <w:bidi w:val="0"/>
              <w:spacing w:line="240" w:lineRule="auto"/>
              <w:jc w:val="both"/>
              <w:rPr>
                <w:rFonts w:hint="eastAsia" w:ascii="楷体" w:hAnsi="楷体" w:eastAsia="楷体" w:cs="楷体"/>
                <w:bCs/>
                <w:color w:val="000000" w:themeColor="text1"/>
                <w:sz w:val="20"/>
                <w:szCs w:val="20"/>
                <w:highlight w:val="none"/>
                <w:lang w:val="en-US" w:eastAsia="zh-CN"/>
                <w14:textFill>
                  <w14:solidFill>
                    <w14:schemeClr w14:val="tx1"/>
                  </w14:solidFill>
                </w14:textFill>
              </w:rPr>
            </w:pPr>
            <w:r>
              <w:rPr>
                <w:rFonts w:hint="eastAsia" w:ascii="楷体" w:hAnsi="楷体" w:eastAsia="楷体" w:cs="楷体"/>
                <w:bCs/>
                <w:color w:val="000000" w:themeColor="text1"/>
                <w:sz w:val="20"/>
                <w:szCs w:val="20"/>
                <w:highlight w:val="none"/>
                <w:lang w:val="en-US" w:eastAsia="zh-CN"/>
                <w14:textFill>
                  <w14:solidFill>
                    <w14:schemeClr w14:val="tx1"/>
                  </w14:solidFill>
                </w14:textFill>
              </w:rPr>
              <w:t>O份额：以前一自然日资产净值为基数，一次性计提模式；</w:t>
            </w:r>
          </w:p>
          <w:p>
            <w:pPr>
              <w:keepNext w:val="0"/>
              <w:keepLines w:val="0"/>
              <w:pageBreakBefore w:val="0"/>
              <w:widowControl/>
              <w:bidi w:val="0"/>
              <w:spacing w:line="240" w:lineRule="auto"/>
              <w:jc w:val="both"/>
              <w:rPr>
                <w:rFonts w:hint="eastAsia" w:ascii="楷体" w:hAnsi="楷体" w:eastAsia="楷体" w:cs="楷体"/>
                <w:bCs/>
                <w:color w:val="000000" w:themeColor="text1"/>
                <w:sz w:val="20"/>
                <w:szCs w:val="20"/>
                <w:highlight w:val="none"/>
                <w:lang w:val="en-US" w:eastAsia="zh-CN"/>
                <w14:textFill>
                  <w14:solidFill>
                    <w14:schemeClr w14:val="tx1"/>
                  </w14:solidFill>
                </w14:textFill>
              </w:rPr>
            </w:pPr>
            <w:r>
              <w:rPr>
                <w:rFonts w:hint="eastAsia" w:ascii="楷体" w:hAnsi="楷体" w:eastAsia="楷体" w:cs="楷体"/>
                <w:bCs/>
                <w:color w:val="000000" w:themeColor="text1"/>
                <w:sz w:val="20"/>
                <w:szCs w:val="20"/>
                <w:highlight w:val="none"/>
                <w:lang w:val="en-US" w:eastAsia="zh-CN"/>
                <w14:textFill>
                  <w14:solidFill>
                    <w14:schemeClr w14:val="tx1"/>
                  </w14:solidFill>
                </w14:textFill>
              </w:rPr>
              <w:t>Z份额：以前一自然日资产净值为基数，每日计提模式。</w:t>
            </w:r>
          </w:p>
          <w:p>
            <w:pPr>
              <w:keepNext w:val="0"/>
              <w:keepLines w:val="0"/>
              <w:pageBreakBefore w:val="0"/>
              <w:widowControl/>
              <w:bidi w:val="0"/>
              <w:spacing w:line="240" w:lineRule="auto"/>
              <w:jc w:val="both"/>
              <w:rPr>
                <w:rFonts w:hint="default" w:ascii="楷体" w:hAnsi="楷体" w:eastAsia="楷体" w:cs="楷体"/>
                <w:bCs/>
                <w:color w:val="000000" w:themeColor="text1"/>
                <w:sz w:val="20"/>
                <w:szCs w:val="20"/>
                <w:highlight w:val="none"/>
                <w:lang w:val="en-US" w:eastAsia="zh-CN"/>
                <w14:textFill>
                  <w14:solidFill>
                    <w14:schemeClr w14:val="tx1"/>
                  </w14:solidFill>
                </w14:textFill>
              </w:rPr>
            </w:pPr>
            <w:r>
              <w:rPr>
                <w:rFonts w:hint="eastAsia" w:ascii="楷体" w:hAnsi="楷体" w:eastAsia="楷体" w:cs="楷体"/>
                <w:bCs/>
                <w:color w:val="000000" w:themeColor="text1"/>
                <w:sz w:val="20"/>
                <w:szCs w:val="20"/>
                <w:highlight w:val="none"/>
                <w:lang w:val="en-US" w:eastAsia="zh-CN"/>
                <w14:textFill>
                  <w14:solidFill>
                    <w14:schemeClr w14:val="tx1"/>
                  </w14:solidFill>
                </w14:textFill>
              </w:rPr>
              <w:t>公式如下：</w:t>
            </w:r>
          </w:p>
          <w:p>
            <w:pPr>
              <w:keepNext w:val="0"/>
              <w:keepLines w:val="0"/>
              <w:pageBreakBefore w:val="0"/>
              <w:widowControl/>
              <w:bidi w:val="0"/>
              <w:spacing w:line="240" w:lineRule="auto"/>
              <w:jc w:val="both"/>
              <w:rPr>
                <w:rFonts w:hint="eastAsia" w:ascii="楷体" w:hAnsi="楷体" w:eastAsia="楷体" w:cs="楷体"/>
                <w:bCs/>
                <w:color w:val="000000" w:themeColor="text1"/>
                <w:sz w:val="20"/>
                <w:szCs w:val="20"/>
                <w:highlight w:val="none"/>
                <w:lang w:val="en-US" w:eastAsia="zh-CN"/>
                <w14:textFill>
                  <w14:solidFill>
                    <w14:schemeClr w14:val="tx1"/>
                  </w14:solidFill>
                </w14:textFill>
              </w:rPr>
            </w:pPr>
            <w:r>
              <w:rPr>
                <w:rFonts w:hint="eastAsia" w:ascii="楷体" w:hAnsi="楷体" w:eastAsia="楷体" w:cs="楷体"/>
                <w:bCs/>
                <w:color w:val="000000" w:themeColor="text1"/>
                <w:sz w:val="20"/>
                <w:szCs w:val="20"/>
                <w:highlight w:val="none"/>
                <w:lang w:val="en-US" w:eastAsia="zh-CN"/>
                <w14:textFill>
                  <w14:solidFill>
                    <w14:schemeClr w14:val="tx1"/>
                  </w14:solidFill>
                </w14:textFill>
              </w:rPr>
              <w:t>每日计提模式：每日计提，按管理人与销售机构约定的时间支付，每日应计提的销售服务费＝计提基数×销售服务费率÷365。</w:t>
            </w:r>
          </w:p>
          <w:p>
            <w:pPr>
              <w:keepNext w:val="0"/>
              <w:keepLines w:val="0"/>
              <w:pageBreakBefore w:val="0"/>
              <w:widowControl/>
              <w:bidi w:val="0"/>
              <w:spacing w:line="240" w:lineRule="auto"/>
              <w:jc w:val="both"/>
              <w:rPr>
                <w:rFonts w:hint="eastAsia" w:ascii="楷体" w:hAnsi="楷体" w:eastAsia="楷体" w:cs="楷体"/>
                <w:bCs/>
                <w:color w:val="000000" w:themeColor="text1"/>
                <w:sz w:val="20"/>
                <w:szCs w:val="20"/>
                <w:highlight w:val="none"/>
                <w:lang w:val="en-US" w:eastAsia="zh-CN"/>
                <w14:textFill>
                  <w14:solidFill>
                    <w14:schemeClr w14:val="tx1"/>
                  </w14:solidFill>
                </w14:textFill>
              </w:rPr>
            </w:pPr>
            <w:r>
              <w:rPr>
                <w:rFonts w:hint="eastAsia" w:ascii="楷体" w:hAnsi="楷体" w:eastAsia="楷体" w:cs="楷体"/>
                <w:bCs/>
                <w:color w:val="000000" w:themeColor="text1"/>
                <w:sz w:val="20"/>
                <w:szCs w:val="20"/>
                <w:highlight w:val="none"/>
                <w:lang w:val="en-US" w:eastAsia="zh-CN"/>
                <w14:textFill>
                  <w14:solidFill>
                    <w14:schemeClr w14:val="tx1"/>
                  </w14:solidFill>
                </w14:textFill>
              </w:rPr>
              <w:t>一次性提取模式：成立日一次性提取，按管理人与销售机构约定的时间支付，每日摊销，销售服务费＝计提基数×销售服务费率×产品投资期限天数÷365。</w:t>
            </w:r>
          </w:p>
          <w:p>
            <w:pPr>
              <w:keepNext w:val="0"/>
              <w:keepLines w:val="0"/>
              <w:pageBreakBefore w:val="0"/>
              <w:widowControl/>
              <w:numPr>
                <w:ilvl w:val="0"/>
                <w:numId w:val="0"/>
              </w:numPr>
              <w:bidi w:val="0"/>
              <w:spacing w:line="240" w:lineRule="auto"/>
              <w:jc w:val="both"/>
              <w:rPr>
                <w:rFonts w:hint="eastAsia" w:ascii="楷体" w:hAnsi="楷体" w:eastAsia="楷体" w:cs="楷体"/>
                <w:bCs/>
                <w:color w:val="000000" w:themeColor="text1"/>
                <w:sz w:val="20"/>
                <w:szCs w:val="20"/>
                <w:highlight w:val="none"/>
                <w:lang w:val="en-US" w:eastAsia="zh-CN"/>
                <w14:textFill>
                  <w14:solidFill>
                    <w14:schemeClr w14:val="tx1"/>
                  </w14:solidFill>
                </w14:textFill>
              </w:rPr>
            </w:pPr>
          </w:p>
          <w:p>
            <w:pPr>
              <w:keepNext w:val="0"/>
              <w:keepLines w:val="0"/>
              <w:pageBreakBefore w:val="0"/>
              <w:widowControl/>
              <w:numPr>
                <w:ilvl w:val="0"/>
                <w:numId w:val="0"/>
              </w:numPr>
              <w:bidi w:val="0"/>
              <w:spacing w:line="240" w:lineRule="auto"/>
              <w:jc w:val="both"/>
              <w:rPr>
                <w:rFonts w:hint="eastAsia" w:ascii="楷体" w:hAnsi="楷体" w:eastAsia="楷体" w:cs="楷体"/>
                <w:b/>
                <w:bCs w:val="0"/>
                <w:color w:val="000000" w:themeColor="text1"/>
                <w:sz w:val="20"/>
                <w:szCs w:val="20"/>
                <w:highlight w:val="none"/>
                <w:u w:val="single"/>
                <w:lang w:val="en-US" w:eastAsia="zh-CN"/>
                <w14:textFill>
                  <w14:solidFill>
                    <w14:schemeClr w14:val="tx1"/>
                  </w14:solidFill>
                </w14:textFill>
              </w:rPr>
            </w:pPr>
            <w:r>
              <w:rPr>
                <w:rFonts w:hint="eastAsia" w:ascii="楷体" w:hAnsi="楷体" w:eastAsia="楷体" w:cs="楷体"/>
                <w:b/>
                <w:bCs w:val="0"/>
                <w:color w:val="000000" w:themeColor="text1"/>
                <w:sz w:val="20"/>
                <w:szCs w:val="20"/>
                <w:highlight w:val="none"/>
                <w:u w:val="single"/>
                <w:lang w:val="en-US" w:eastAsia="zh-CN"/>
                <w14:textFill>
                  <w14:solidFill>
                    <w14:schemeClr w14:val="tx1"/>
                  </w14:solidFill>
                </w14:textFill>
              </w:rPr>
              <w:t>托管费</w:t>
            </w:r>
          </w:p>
          <w:p>
            <w:pPr>
              <w:keepNext w:val="0"/>
              <w:keepLines w:val="0"/>
              <w:pageBreakBefore w:val="0"/>
              <w:widowControl/>
              <w:bidi w:val="0"/>
              <w:spacing w:line="240" w:lineRule="auto"/>
              <w:jc w:val="both"/>
              <w:rPr>
                <w:rFonts w:hint="eastAsia" w:ascii="楷体" w:hAnsi="楷体" w:eastAsia="楷体" w:cs="楷体"/>
                <w:color w:val="auto"/>
                <w:sz w:val="20"/>
                <w:szCs w:val="20"/>
                <w:highlight w:val="none"/>
                <w:lang w:eastAsia="zh-CN"/>
              </w:rPr>
            </w:pPr>
            <w:r>
              <w:rPr>
                <w:rFonts w:hint="eastAsia" w:ascii="楷体" w:hAnsi="楷体" w:eastAsia="楷体" w:cs="楷体"/>
                <w:color w:val="auto"/>
                <w:sz w:val="20"/>
                <w:szCs w:val="20"/>
                <w:highlight w:val="none"/>
              </w:rPr>
              <w:t>以前一自然日资产净值为基数，每日计提模式。</w:t>
            </w:r>
          </w:p>
          <w:p>
            <w:pPr>
              <w:keepNext w:val="0"/>
              <w:keepLines w:val="0"/>
              <w:pageBreakBefore w:val="0"/>
              <w:widowControl/>
              <w:bidi w:val="0"/>
              <w:spacing w:line="240" w:lineRule="auto"/>
              <w:jc w:val="both"/>
              <w:rPr>
                <w:rFonts w:hint="eastAsia" w:ascii="楷体" w:hAnsi="楷体" w:eastAsia="楷体" w:cs="楷体"/>
                <w:color w:val="auto"/>
                <w:sz w:val="20"/>
                <w:szCs w:val="20"/>
                <w:highlight w:val="none"/>
              </w:rPr>
            </w:pPr>
            <w:r>
              <w:rPr>
                <w:rFonts w:hint="eastAsia" w:ascii="楷体" w:hAnsi="楷体" w:eastAsia="楷体" w:cs="楷体"/>
                <w:color w:val="auto"/>
                <w:sz w:val="20"/>
                <w:szCs w:val="20"/>
                <w:highlight w:val="none"/>
              </w:rPr>
              <w:t>公式如下：</w:t>
            </w:r>
          </w:p>
          <w:p>
            <w:pPr>
              <w:keepNext w:val="0"/>
              <w:keepLines w:val="0"/>
              <w:pageBreakBefore w:val="0"/>
              <w:widowControl/>
              <w:numPr>
                <w:ilvl w:val="0"/>
                <w:numId w:val="0"/>
              </w:numPr>
              <w:bidi w:val="0"/>
              <w:spacing w:line="240" w:lineRule="auto"/>
              <w:jc w:val="both"/>
              <w:rPr>
                <w:rFonts w:hint="eastAsia" w:ascii="楷体" w:hAnsi="楷体" w:eastAsia="楷体" w:cs="楷体"/>
                <w:color w:val="auto"/>
                <w:sz w:val="20"/>
                <w:szCs w:val="20"/>
                <w:highlight w:val="none"/>
              </w:rPr>
            </w:pPr>
            <w:r>
              <w:rPr>
                <w:rFonts w:hint="eastAsia" w:ascii="楷体" w:hAnsi="楷体" w:eastAsia="楷体" w:cs="楷体"/>
                <w:color w:val="auto"/>
                <w:sz w:val="20"/>
                <w:szCs w:val="20"/>
                <w:highlight w:val="none"/>
              </w:rPr>
              <w:t>每日计提模式：每日计提</w:t>
            </w:r>
            <w:r>
              <w:rPr>
                <w:rFonts w:hint="eastAsia" w:ascii="楷体" w:hAnsi="楷体" w:eastAsia="楷体" w:cs="楷体"/>
                <w:color w:val="auto"/>
                <w:sz w:val="20"/>
                <w:szCs w:val="20"/>
                <w:highlight w:val="none"/>
                <w:lang w:eastAsia="zh-CN"/>
              </w:rPr>
              <w:t>，</w:t>
            </w:r>
            <w:r>
              <w:rPr>
                <w:rFonts w:hint="eastAsia" w:ascii="楷体" w:hAnsi="楷体" w:eastAsia="楷体" w:cs="楷体"/>
                <w:bCs/>
                <w:color w:val="000000" w:themeColor="text1"/>
                <w:sz w:val="20"/>
                <w:szCs w:val="20"/>
                <w:highlight w:val="none"/>
                <w:lang w:val="en-US" w:eastAsia="zh-CN"/>
                <w14:textFill>
                  <w14:solidFill>
                    <w14:schemeClr w14:val="tx1"/>
                  </w14:solidFill>
                </w14:textFill>
              </w:rPr>
              <w:t>按管理人与托管机构约定的时间支付</w:t>
            </w:r>
            <w:r>
              <w:rPr>
                <w:rFonts w:hint="eastAsia" w:ascii="楷体" w:hAnsi="楷体" w:eastAsia="楷体" w:cs="楷体"/>
                <w:color w:val="auto"/>
                <w:sz w:val="20"/>
                <w:szCs w:val="20"/>
                <w:highlight w:val="none"/>
              </w:rPr>
              <w:t>，每日应计提的托管费＝计提基数×托管费率÷365。</w:t>
            </w:r>
          </w:p>
          <w:p>
            <w:pPr>
              <w:keepNext w:val="0"/>
              <w:keepLines w:val="0"/>
              <w:pageBreakBefore w:val="0"/>
              <w:widowControl/>
              <w:numPr>
                <w:ilvl w:val="0"/>
                <w:numId w:val="0"/>
              </w:numPr>
              <w:bidi w:val="0"/>
              <w:spacing w:line="240" w:lineRule="auto"/>
              <w:jc w:val="both"/>
              <w:rPr>
                <w:rFonts w:hint="eastAsia" w:ascii="楷体" w:hAnsi="楷体" w:eastAsia="楷体" w:cs="楷体"/>
                <w:color w:val="auto"/>
                <w:sz w:val="20"/>
                <w:szCs w:val="20"/>
                <w:highlight w:val="none"/>
              </w:rPr>
            </w:pPr>
            <w:r>
              <w:rPr>
                <w:rFonts w:hint="eastAsia" w:ascii="楷体" w:hAnsi="楷体" w:eastAsia="楷体" w:cs="楷体"/>
                <w:color w:val="auto"/>
                <w:sz w:val="20"/>
                <w:szCs w:val="20"/>
                <w:highlight w:val="none"/>
              </w:rPr>
              <w:t>一次性提取模式：成立日一次性提取，</w:t>
            </w:r>
            <w:r>
              <w:rPr>
                <w:rFonts w:hint="eastAsia" w:ascii="楷体" w:hAnsi="楷体" w:eastAsia="楷体" w:cs="楷体"/>
                <w:bCs/>
                <w:color w:val="000000" w:themeColor="text1"/>
                <w:sz w:val="20"/>
                <w:szCs w:val="20"/>
                <w:highlight w:val="none"/>
                <w:lang w:val="en-US" w:eastAsia="zh-CN"/>
                <w14:textFill>
                  <w14:solidFill>
                    <w14:schemeClr w14:val="tx1"/>
                  </w14:solidFill>
                </w14:textFill>
              </w:rPr>
              <w:t>按管理人与托管机构约定的时间支付，</w:t>
            </w:r>
            <w:r>
              <w:rPr>
                <w:rFonts w:hint="eastAsia" w:ascii="楷体" w:hAnsi="楷体" w:eastAsia="楷体" w:cs="楷体"/>
                <w:color w:val="auto"/>
                <w:sz w:val="20"/>
                <w:szCs w:val="20"/>
                <w:highlight w:val="none"/>
              </w:rPr>
              <w:t>每日摊销，托管费＝计提基数×托管费率×产品投资期限天数÷365。</w:t>
            </w:r>
          </w:p>
          <w:p>
            <w:pPr>
              <w:keepNext w:val="0"/>
              <w:keepLines w:val="0"/>
              <w:pageBreakBefore w:val="0"/>
              <w:widowControl/>
              <w:numPr>
                <w:ilvl w:val="0"/>
                <w:numId w:val="0"/>
              </w:numPr>
              <w:bidi w:val="0"/>
              <w:spacing w:line="240" w:lineRule="auto"/>
              <w:jc w:val="both"/>
              <w:rPr>
                <w:rFonts w:hint="eastAsia" w:ascii="楷体" w:hAnsi="楷体" w:eastAsia="楷体" w:cs="楷体"/>
                <w:color w:val="auto"/>
                <w:sz w:val="20"/>
                <w:szCs w:val="20"/>
                <w:highlight w:val="none"/>
              </w:rPr>
            </w:pPr>
          </w:p>
          <w:p>
            <w:pPr>
              <w:keepNext w:val="0"/>
              <w:keepLines w:val="0"/>
              <w:pageBreakBefore w:val="0"/>
              <w:widowControl/>
              <w:numPr>
                <w:ilvl w:val="0"/>
                <w:numId w:val="0"/>
              </w:numPr>
              <w:bidi w:val="0"/>
              <w:spacing w:line="240" w:lineRule="auto"/>
              <w:jc w:val="both"/>
              <w:rPr>
                <w:rFonts w:hint="default" w:ascii="楷体" w:hAnsi="楷体" w:eastAsia="楷体" w:cs="楷体"/>
                <w:b/>
                <w:bCs w:val="0"/>
                <w:color w:val="000000" w:themeColor="text1"/>
                <w:sz w:val="20"/>
                <w:szCs w:val="20"/>
                <w:highlight w:val="none"/>
                <w:u w:val="single"/>
                <w:lang w:val="en-US" w:eastAsia="zh-CN"/>
                <w14:textFill>
                  <w14:solidFill>
                    <w14:schemeClr w14:val="tx1"/>
                  </w14:solidFill>
                </w14:textFill>
              </w:rPr>
            </w:pPr>
            <w:r>
              <w:rPr>
                <w:rFonts w:hint="eastAsia" w:ascii="楷体" w:hAnsi="楷体" w:eastAsia="楷体" w:cs="楷体"/>
                <w:b/>
                <w:bCs w:val="0"/>
                <w:color w:val="000000" w:themeColor="text1"/>
                <w:sz w:val="20"/>
                <w:szCs w:val="20"/>
                <w:highlight w:val="none"/>
                <w:u w:val="single"/>
                <w:lang w:val="en-US" w:eastAsia="zh-CN"/>
                <w14:textFill>
                  <w14:solidFill>
                    <w14:schemeClr w14:val="tx1"/>
                  </w14:solidFill>
                </w14:textFill>
              </w:rPr>
              <w:t>固定管理费</w:t>
            </w:r>
          </w:p>
          <w:p>
            <w:pPr>
              <w:keepNext w:val="0"/>
              <w:keepLines w:val="0"/>
              <w:pageBreakBefore w:val="0"/>
              <w:widowControl/>
              <w:bidi w:val="0"/>
              <w:spacing w:line="240" w:lineRule="auto"/>
              <w:jc w:val="both"/>
              <w:rPr>
                <w:rFonts w:hint="eastAsia" w:ascii="楷体" w:hAnsi="楷体" w:eastAsia="楷体" w:cs="楷体"/>
                <w:color w:val="auto"/>
                <w:sz w:val="20"/>
                <w:szCs w:val="20"/>
                <w:highlight w:val="none"/>
                <w:lang w:val="en-US" w:eastAsia="zh-CN"/>
              </w:rPr>
            </w:pPr>
            <w:r>
              <w:rPr>
                <w:rFonts w:hint="eastAsia" w:ascii="楷体" w:hAnsi="楷体" w:eastAsia="楷体" w:cs="楷体"/>
                <w:color w:val="auto"/>
                <w:sz w:val="20"/>
                <w:szCs w:val="20"/>
                <w:highlight w:val="none"/>
                <w:lang w:val="en-US" w:eastAsia="zh-CN"/>
              </w:rPr>
              <w:t>A份额：以前一自然日资产净值为基数，每日计提模式；</w:t>
            </w:r>
          </w:p>
          <w:p>
            <w:pPr>
              <w:keepNext w:val="0"/>
              <w:keepLines w:val="0"/>
              <w:pageBreakBefore w:val="0"/>
              <w:widowControl/>
              <w:bidi w:val="0"/>
              <w:spacing w:line="240" w:lineRule="auto"/>
              <w:jc w:val="both"/>
              <w:rPr>
                <w:rFonts w:hint="eastAsia" w:ascii="楷体" w:hAnsi="楷体" w:eastAsia="楷体" w:cs="楷体"/>
                <w:color w:val="auto"/>
                <w:sz w:val="20"/>
                <w:szCs w:val="20"/>
                <w:highlight w:val="none"/>
                <w:lang w:val="en-US" w:eastAsia="zh-CN"/>
              </w:rPr>
            </w:pPr>
            <w:r>
              <w:rPr>
                <w:rFonts w:hint="eastAsia" w:ascii="楷体" w:hAnsi="楷体" w:eastAsia="楷体" w:cs="楷体"/>
                <w:color w:val="auto"/>
                <w:sz w:val="20"/>
                <w:szCs w:val="20"/>
                <w:highlight w:val="none"/>
                <w:lang w:val="en-US" w:eastAsia="zh-CN"/>
              </w:rPr>
              <w:t>B份额：以前一自然日资产净值为基数，每日计提模式；</w:t>
            </w:r>
          </w:p>
          <w:p>
            <w:pPr>
              <w:keepNext w:val="0"/>
              <w:keepLines w:val="0"/>
              <w:pageBreakBefore w:val="0"/>
              <w:widowControl/>
              <w:bidi w:val="0"/>
              <w:spacing w:line="240" w:lineRule="auto"/>
              <w:jc w:val="both"/>
              <w:rPr>
                <w:rFonts w:hint="eastAsia" w:ascii="楷体" w:hAnsi="楷体" w:eastAsia="楷体" w:cs="楷体"/>
                <w:color w:val="auto"/>
                <w:sz w:val="20"/>
                <w:szCs w:val="20"/>
                <w:highlight w:val="none"/>
                <w:lang w:val="en-US" w:eastAsia="zh-CN"/>
              </w:rPr>
            </w:pPr>
            <w:r>
              <w:rPr>
                <w:rFonts w:hint="eastAsia" w:ascii="楷体" w:hAnsi="楷体" w:eastAsia="楷体" w:cs="楷体"/>
                <w:color w:val="auto"/>
                <w:sz w:val="20"/>
                <w:szCs w:val="20"/>
                <w:highlight w:val="none"/>
                <w:lang w:val="en-US" w:eastAsia="zh-CN"/>
              </w:rPr>
              <w:t>C份额：以前一自然日资产净值为基数，每日计提模式；</w:t>
            </w:r>
          </w:p>
          <w:p>
            <w:pPr>
              <w:keepNext w:val="0"/>
              <w:keepLines w:val="0"/>
              <w:pageBreakBefore w:val="0"/>
              <w:widowControl/>
              <w:bidi w:val="0"/>
              <w:spacing w:line="240" w:lineRule="auto"/>
              <w:jc w:val="both"/>
              <w:rPr>
                <w:rFonts w:hint="eastAsia" w:ascii="楷体" w:hAnsi="楷体" w:eastAsia="楷体" w:cs="楷体"/>
                <w:color w:val="auto"/>
                <w:sz w:val="20"/>
                <w:szCs w:val="20"/>
                <w:highlight w:val="none"/>
                <w:lang w:val="en-US" w:eastAsia="zh-CN"/>
              </w:rPr>
            </w:pPr>
            <w:r>
              <w:rPr>
                <w:rFonts w:hint="eastAsia" w:ascii="楷体" w:hAnsi="楷体" w:eastAsia="楷体" w:cs="楷体"/>
                <w:color w:val="auto"/>
                <w:sz w:val="20"/>
                <w:szCs w:val="20"/>
                <w:highlight w:val="none"/>
                <w:lang w:val="en-US" w:eastAsia="zh-CN"/>
              </w:rPr>
              <w:t>D份额：以前一自然日资产净值为基数，每日计提模式；</w:t>
            </w:r>
          </w:p>
          <w:p>
            <w:pPr>
              <w:keepNext w:val="0"/>
              <w:keepLines w:val="0"/>
              <w:pageBreakBefore w:val="0"/>
              <w:widowControl/>
              <w:bidi w:val="0"/>
              <w:spacing w:line="240" w:lineRule="auto"/>
              <w:jc w:val="both"/>
              <w:rPr>
                <w:rFonts w:hint="eastAsia" w:ascii="楷体" w:hAnsi="楷体" w:eastAsia="楷体" w:cs="楷体"/>
                <w:color w:val="auto"/>
                <w:sz w:val="20"/>
                <w:szCs w:val="20"/>
                <w:highlight w:val="none"/>
                <w:lang w:val="en-US" w:eastAsia="zh-CN"/>
              </w:rPr>
            </w:pPr>
            <w:r>
              <w:rPr>
                <w:rFonts w:hint="eastAsia" w:ascii="楷体" w:hAnsi="楷体" w:eastAsia="楷体" w:cs="楷体"/>
                <w:color w:val="auto"/>
                <w:sz w:val="20"/>
                <w:szCs w:val="20"/>
                <w:highlight w:val="none"/>
                <w:lang w:val="en-US" w:eastAsia="zh-CN"/>
              </w:rPr>
              <w:t>E份额：以前一自然日资产净值为基数，每日计提模式；</w:t>
            </w:r>
          </w:p>
          <w:p>
            <w:pPr>
              <w:keepNext w:val="0"/>
              <w:keepLines w:val="0"/>
              <w:pageBreakBefore w:val="0"/>
              <w:widowControl/>
              <w:bidi w:val="0"/>
              <w:spacing w:line="240" w:lineRule="auto"/>
              <w:jc w:val="both"/>
              <w:rPr>
                <w:rFonts w:hint="eastAsia" w:ascii="楷体" w:hAnsi="楷体" w:eastAsia="楷体" w:cs="楷体"/>
                <w:color w:val="auto"/>
                <w:sz w:val="20"/>
                <w:szCs w:val="20"/>
                <w:highlight w:val="none"/>
                <w:lang w:val="en-US" w:eastAsia="zh-CN"/>
              </w:rPr>
            </w:pPr>
            <w:r>
              <w:rPr>
                <w:rFonts w:hint="eastAsia" w:ascii="楷体" w:hAnsi="楷体" w:eastAsia="楷体" w:cs="楷体"/>
                <w:color w:val="auto"/>
                <w:sz w:val="20"/>
                <w:szCs w:val="20"/>
                <w:highlight w:val="none"/>
                <w:lang w:val="en-US" w:eastAsia="zh-CN"/>
              </w:rPr>
              <w:t>F份额：以前一自然日资产净值为基数，每日计提模式；</w:t>
            </w:r>
          </w:p>
          <w:p>
            <w:pPr>
              <w:keepNext w:val="0"/>
              <w:keepLines w:val="0"/>
              <w:pageBreakBefore w:val="0"/>
              <w:widowControl/>
              <w:bidi w:val="0"/>
              <w:spacing w:line="240" w:lineRule="auto"/>
              <w:jc w:val="both"/>
              <w:rPr>
                <w:rFonts w:hint="eastAsia" w:ascii="楷体" w:hAnsi="楷体" w:eastAsia="楷体" w:cs="楷体"/>
                <w:color w:val="auto"/>
                <w:sz w:val="20"/>
                <w:szCs w:val="20"/>
                <w:highlight w:val="none"/>
                <w:lang w:val="en-US" w:eastAsia="zh-CN"/>
              </w:rPr>
            </w:pPr>
            <w:r>
              <w:rPr>
                <w:rFonts w:hint="eastAsia" w:ascii="楷体" w:hAnsi="楷体" w:eastAsia="楷体" w:cs="楷体"/>
                <w:color w:val="auto"/>
                <w:sz w:val="20"/>
                <w:szCs w:val="20"/>
                <w:highlight w:val="none"/>
                <w:lang w:val="en-US" w:eastAsia="zh-CN"/>
              </w:rPr>
              <w:t>H份额：以前一自然日资产净值为基数，每日计提模式；</w:t>
            </w:r>
          </w:p>
          <w:p>
            <w:pPr>
              <w:keepNext w:val="0"/>
              <w:keepLines w:val="0"/>
              <w:pageBreakBefore w:val="0"/>
              <w:widowControl/>
              <w:bidi w:val="0"/>
              <w:spacing w:line="240" w:lineRule="auto"/>
              <w:jc w:val="both"/>
              <w:rPr>
                <w:rFonts w:hint="eastAsia" w:ascii="楷体" w:hAnsi="楷体" w:eastAsia="楷体" w:cs="楷体"/>
                <w:color w:val="auto"/>
                <w:sz w:val="20"/>
                <w:szCs w:val="20"/>
                <w:highlight w:val="none"/>
                <w:lang w:val="en-US" w:eastAsia="zh-CN"/>
              </w:rPr>
            </w:pPr>
            <w:r>
              <w:rPr>
                <w:rFonts w:hint="eastAsia" w:ascii="楷体" w:hAnsi="楷体" w:eastAsia="楷体" w:cs="楷体"/>
                <w:color w:val="auto"/>
                <w:sz w:val="20"/>
                <w:szCs w:val="20"/>
                <w:highlight w:val="none"/>
                <w:lang w:val="en-US" w:eastAsia="zh-CN"/>
              </w:rPr>
              <w:t>J份额：以前一自然日资产净值为基数，每日计提模式；</w:t>
            </w:r>
          </w:p>
          <w:p>
            <w:pPr>
              <w:keepNext w:val="0"/>
              <w:keepLines w:val="0"/>
              <w:pageBreakBefore w:val="0"/>
              <w:widowControl/>
              <w:bidi w:val="0"/>
              <w:spacing w:line="240" w:lineRule="auto"/>
              <w:jc w:val="both"/>
              <w:rPr>
                <w:rFonts w:hint="eastAsia" w:ascii="楷体" w:hAnsi="楷体" w:eastAsia="楷体" w:cs="楷体"/>
                <w:color w:val="auto"/>
                <w:sz w:val="20"/>
                <w:szCs w:val="20"/>
                <w:highlight w:val="none"/>
                <w:lang w:val="en-US" w:eastAsia="zh-CN"/>
              </w:rPr>
            </w:pPr>
            <w:r>
              <w:rPr>
                <w:rFonts w:hint="eastAsia" w:ascii="楷体" w:hAnsi="楷体" w:eastAsia="楷体" w:cs="楷体"/>
                <w:color w:val="auto"/>
                <w:sz w:val="20"/>
                <w:szCs w:val="20"/>
                <w:highlight w:val="none"/>
                <w:lang w:val="en-US" w:eastAsia="zh-CN"/>
              </w:rPr>
              <w:t>K份额：以前一自然日资产净值为基数，每日计提模式；</w:t>
            </w:r>
          </w:p>
          <w:p>
            <w:pPr>
              <w:keepNext w:val="0"/>
              <w:keepLines w:val="0"/>
              <w:pageBreakBefore w:val="0"/>
              <w:widowControl/>
              <w:bidi w:val="0"/>
              <w:spacing w:line="240" w:lineRule="auto"/>
              <w:jc w:val="both"/>
              <w:rPr>
                <w:rFonts w:hint="eastAsia" w:ascii="楷体" w:hAnsi="楷体" w:eastAsia="楷体" w:cs="楷体"/>
                <w:color w:val="auto"/>
                <w:sz w:val="20"/>
                <w:szCs w:val="20"/>
                <w:highlight w:val="none"/>
                <w:lang w:val="en-US" w:eastAsia="zh-CN"/>
              </w:rPr>
            </w:pPr>
            <w:r>
              <w:rPr>
                <w:rFonts w:hint="eastAsia" w:ascii="楷体" w:hAnsi="楷体" w:eastAsia="楷体" w:cs="楷体"/>
                <w:color w:val="auto"/>
                <w:sz w:val="20"/>
                <w:szCs w:val="20"/>
                <w:highlight w:val="none"/>
                <w:lang w:val="en-US" w:eastAsia="zh-CN"/>
              </w:rPr>
              <w:t>L份额：以前一自然日资产净值为基数，每日计提模式；</w:t>
            </w:r>
          </w:p>
          <w:p>
            <w:pPr>
              <w:keepNext w:val="0"/>
              <w:keepLines w:val="0"/>
              <w:pageBreakBefore w:val="0"/>
              <w:widowControl/>
              <w:bidi w:val="0"/>
              <w:spacing w:line="240" w:lineRule="auto"/>
              <w:jc w:val="both"/>
              <w:rPr>
                <w:rFonts w:hint="eastAsia" w:ascii="楷体" w:hAnsi="楷体" w:eastAsia="楷体" w:cs="楷体"/>
                <w:color w:val="auto"/>
                <w:sz w:val="20"/>
                <w:szCs w:val="20"/>
                <w:highlight w:val="none"/>
                <w:lang w:val="en-US" w:eastAsia="zh-CN"/>
              </w:rPr>
            </w:pPr>
            <w:r>
              <w:rPr>
                <w:rFonts w:hint="eastAsia" w:ascii="楷体" w:hAnsi="楷体" w:eastAsia="楷体" w:cs="楷体"/>
                <w:color w:val="auto"/>
                <w:sz w:val="20"/>
                <w:szCs w:val="20"/>
                <w:highlight w:val="none"/>
                <w:lang w:val="en-US" w:eastAsia="zh-CN"/>
              </w:rPr>
              <w:t>N份额：以前一自然日资产净值为基数，每日计提模式；</w:t>
            </w:r>
          </w:p>
          <w:p>
            <w:pPr>
              <w:keepNext w:val="0"/>
              <w:keepLines w:val="0"/>
              <w:pageBreakBefore w:val="0"/>
              <w:widowControl/>
              <w:bidi w:val="0"/>
              <w:spacing w:line="240" w:lineRule="auto"/>
              <w:jc w:val="both"/>
              <w:rPr>
                <w:rFonts w:hint="eastAsia" w:ascii="楷体" w:hAnsi="楷体" w:eastAsia="楷体" w:cs="楷体"/>
                <w:color w:val="auto"/>
                <w:sz w:val="20"/>
                <w:szCs w:val="20"/>
                <w:highlight w:val="none"/>
                <w:lang w:val="en-US" w:eastAsia="zh-CN"/>
              </w:rPr>
            </w:pPr>
            <w:r>
              <w:rPr>
                <w:rFonts w:hint="eastAsia" w:ascii="楷体" w:hAnsi="楷体" w:eastAsia="楷体" w:cs="楷体"/>
                <w:color w:val="auto"/>
                <w:sz w:val="20"/>
                <w:szCs w:val="20"/>
                <w:highlight w:val="none"/>
                <w:lang w:val="en-US" w:eastAsia="zh-CN"/>
              </w:rPr>
              <w:t>P份额：以前一自然日资产净值为基数，每日计提模式；</w:t>
            </w:r>
          </w:p>
          <w:p>
            <w:pPr>
              <w:keepNext w:val="0"/>
              <w:keepLines w:val="0"/>
              <w:pageBreakBefore w:val="0"/>
              <w:widowControl/>
              <w:bidi w:val="0"/>
              <w:spacing w:line="240" w:lineRule="auto"/>
              <w:jc w:val="both"/>
              <w:rPr>
                <w:rFonts w:hint="eastAsia" w:ascii="楷体" w:hAnsi="楷体" w:eastAsia="楷体" w:cs="楷体"/>
                <w:color w:val="auto"/>
                <w:sz w:val="20"/>
                <w:szCs w:val="20"/>
                <w:highlight w:val="none"/>
                <w:lang w:val="en-US" w:eastAsia="zh-CN"/>
              </w:rPr>
            </w:pPr>
            <w:r>
              <w:rPr>
                <w:rFonts w:hint="eastAsia" w:ascii="楷体" w:hAnsi="楷体" w:eastAsia="楷体" w:cs="楷体"/>
                <w:color w:val="auto"/>
                <w:sz w:val="20"/>
                <w:szCs w:val="20"/>
                <w:highlight w:val="none"/>
                <w:lang w:val="en-US" w:eastAsia="zh-CN"/>
              </w:rPr>
              <w:t>JS份额：以前一自然日资产净值为基数，每日计提模式；</w:t>
            </w:r>
          </w:p>
          <w:p>
            <w:pPr>
              <w:keepNext w:val="0"/>
              <w:keepLines w:val="0"/>
              <w:pageBreakBefore w:val="0"/>
              <w:widowControl/>
              <w:bidi w:val="0"/>
              <w:spacing w:line="240" w:lineRule="auto"/>
              <w:jc w:val="both"/>
              <w:rPr>
                <w:rFonts w:hint="eastAsia" w:ascii="楷体" w:hAnsi="楷体" w:eastAsia="楷体" w:cs="楷体"/>
                <w:color w:val="auto"/>
                <w:sz w:val="20"/>
                <w:szCs w:val="20"/>
                <w:highlight w:val="none"/>
                <w:lang w:val="en-US" w:eastAsia="zh-CN"/>
              </w:rPr>
            </w:pPr>
            <w:r>
              <w:rPr>
                <w:rFonts w:hint="eastAsia" w:ascii="楷体" w:hAnsi="楷体" w:eastAsia="楷体" w:cs="楷体"/>
                <w:color w:val="auto"/>
                <w:sz w:val="20"/>
                <w:szCs w:val="20"/>
                <w:highlight w:val="none"/>
                <w:lang w:val="en-US" w:eastAsia="zh-CN"/>
              </w:rPr>
              <w:t>G份额：以前一自然日资产净值为基数，每日计提模式；</w:t>
            </w:r>
          </w:p>
          <w:p>
            <w:pPr>
              <w:keepNext w:val="0"/>
              <w:keepLines w:val="0"/>
              <w:pageBreakBefore w:val="0"/>
              <w:widowControl/>
              <w:bidi w:val="0"/>
              <w:spacing w:line="240" w:lineRule="auto"/>
              <w:jc w:val="both"/>
              <w:rPr>
                <w:rFonts w:hint="eastAsia" w:ascii="楷体" w:hAnsi="楷体" w:eastAsia="楷体" w:cs="楷体"/>
                <w:color w:val="auto"/>
                <w:sz w:val="20"/>
                <w:szCs w:val="20"/>
                <w:highlight w:val="none"/>
                <w:lang w:val="en-US" w:eastAsia="zh-CN"/>
              </w:rPr>
            </w:pPr>
            <w:r>
              <w:rPr>
                <w:rFonts w:hint="eastAsia" w:ascii="楷体" w:hAnsi="楷体" w:eastAsia="楷体" w:cs="楷体"/>
                <w:color w:val="auto"/>
                <w:sz w:val="20"/>
                <w:szCs w:val="20"/>
                <w:highlight w:val="none"/>
                <w:lang w:val="en-US" w:eastAsia="zh-CN"/>
              </w:rPr>
              <w:t>I份额：以前一自然日资产净值为基数，每日计提模式；</w:t>
            </w:r>
          </w:p>
          <w:p>
            <w:pPr>
              <w:keepNext w:val="0"/>
              <w:keepLines w:val="0"/>
              <w:pageBreakBefore w:val="0"/>
              <w:widowControl/>
              <w:bidi w:val="0"/>
              <w:spacing w:line="240" w:lineRule="auto"/>
              <w:jc w:val="both"/>
              <w:rPr>
                <w:rFonts w:hint="eastAsia" w:ascii="楷体" w:hAnsi="楷体" w:eastAsia="楷体" w:cs="楷体"/>
                <w:color w:val="auto"/>
                <w:sz w:val="20"/>
                <w:szCs w:val="20"/>
                <w:highlight w:val="none"/>
                <w:lang w:val="en-US" w:eastAsia="zh-CN"/>
              </w:rPr>
            </w:pPr>
            <w:r>
              <w:rPr>
                <w:rFonts w:hint="eastAsia" w:ascii="楷体" w:hAnsi="楷体" w:eastAsia="楷体" w:cs="楷体"/>
                <w:color w:val="auto"/>
                <w:sz w:val="20"/>
                <w:szCs w:val="20"/>
                <w:highlight w:val="none"/>
                <w:lang w:val="en-US" w:eastAsia="zh-CN"/>
              </w:rPr>
              <w:t>M份额：以前一自然日资产净值为基数，每日计提模式；</w:t>
            </w:r>
          </w:p>
          <w:p>
            <w:pPr>
              <w:keepNext w:val="0"/>
              <w:keepLines w:val="0"/>
              <w:pageBreakBefore w:val="0"/>
              <w:widowControl/>
              <w:bidi w:val="0"/>
              <w:spacing w:line="240" w:lineRule="auto"/>
              <w:jc w:val="both"/>
              <w:rPr>
                <w:rFonts w:hint="eastAsia" w:ascii="楷体" w:hAnsi="楷体" w:eastAsia="楷体" w:cs="楷体"/>
                <w:color w:val="auto"/>
                <w:sz w:val="20"/>
                <w:szCs w:val="20"/>
                <w:highlight w:val="none"/>
                <w:lang w:val="en-US" w:eastAsia="zh-CN"/>
              </w:rPr>
            </w:pPr>
            <w:r>
              <w:rPr>
                <w:rFonts w:hint="eastAsia" w:ascii="楷体" w:hAnsi="楷体" w:eastAsia="楷体" w:cs="楷体"/>
                <w:color w:val="auto"/>
                <w:sz w:val="20"/>
                <w:szCs w:val="20"/>
                <w:highlight w:val="none"/>
                <w:lang w:val="en-US" w:eastAsia="zh-CN"/>
              </w:rPr>
              <w:t>O份额：以前一自然日资产净值为基数，每日计提模式；</w:t>
            </w:r>
          </w:p>
          <w:p>
            <w:pPr>
              <w:keepNext w:val="0"/>
              <w:keepLines w:val="0"/>
              <w:pageBreakBefore w:val="0"/>
              <w:widowControl/>
              <w:bidi w:val="0"/>
              <w:spacing w:line="240" w:lineRule="auto"/>
              <w:jc w:val="both"/>
              <w:rPr>
                <w:rFonts w:hint="eastAsia" w:ascii="楷体" w:hAnsi="楷体" w:eastAsia="楷体" w:cs="楷体"/>
                <w:color w:val="auto"/>
                <w:sz w:val="20"/>
                <w:szCs w:val="20"/>
                <w:highlight w:val="none"/>
                <w:lang w:eastAsia="zh-CN"/>
              </w:rPr>
            </w:pPr>
            <w:r>
              <w:rPr>
                <w:rFonts w:hint="eastAsia" w:ascii="楷体" w:hAnsi="楷体" w:eastAsia="楷体" w:cs="楷体"/>
                <w:color w:val="auto"/>
                <w:sz w:val="20"/>
                <w:szCs w:val="20"/>
                <w:highlight w:val="none"/>
                <w:lang w:val="en-US" w:eastAsia="zh-CN"/>
              </w:rPr>
              <w:t>Z份额：以前一自然日资产净值为基数，每日计提模式。</w:t>
            </w:r>
          </w:p>
          <w:p>
            <w:pPr>
              <w:keepNext w:val="0"/>
              <w:keepLines w:val="0"/>
              <w:pageBreakBefore w:val="0"/>
              <w:widowControl/>
              <w:bidi w:val="0"/>
              <w:spacing w:line="240" w:lineRule="auto"/>
              <w:jc w:val="both"/>
              <w:rPr>
                <w:rFonts w:hint="eastAsia" w:ascii="楷体" w:hAnsi="楷体" w:eastAsia="楷体" w:cs="楷体"/>
                <w:color w:val="auto"/>
                <w:sz w:val="20"/>
                <w:szCs w:val="20"/>
                <w:highlight w:val="none"/>
              </w:rPr>
            </w:pPr>
            <w:r>
              <w:rPr>
                <w:rFonts w:hint="eastAsia" w:ascii="楷体" w:hAnsi="楷体" w:eastAsia="楷体" w:cs="楷体"/>
                <w:color w:val="auto"/>
                <w:sz w:val="20"/>
                <w:szCs w:val="20"/>
                <w:highlight w:val="none"/>
              </w:rPr>
              <w:t>公式如下：</w:t>
            </w:r>
          </w:p>
          <w:p>
            <w:pPr>
              <w:keepNext w:val="0"/>
              <w:keepLines w:val="0"/>
              <w:pageBreakBefore w:val="0"/>
              <w:widowControl/>
              <w:bidi w:val="0"/>
              <w:spacing w:line="240" w:lineRule="auto"/>
              <w:jc w:val="both"/>
              <w:rPr>
                <w:rFonts w:hint="eastAsia" w:ascii="楷体" w:hAnsi="楷体" w:eastAsia="楷体" w:cs="楷体"/>
                <w:color w:val="auto"/>
                <w:sz w:val="20"/>
                <w:szCs w:val="20"/>
                <w:highlight w:val="none"/>
              </w:rPr>
            </w:pPr>
            <w:r>
              <w:rPr>
                <w:rFonts w:hint="eastAsia" w:ascii="楷体" w:hAnsi="楷体" w:eastAsia="楷体" w:cs="楷体"/>
                <w:color w:val="auto"/>
                <w:sz w:val="20"/>
                <w:szCs w:val="20"/>
                <w:highlight w:val="none"/>
              </w:rPr>
              <w:t>每日计提模式：每日计提</w:t>
            </w:r>
            <w:r>
              <w:rPr>
                <w:rFonts w:hint="eastAsia" w:ascii="楷体" w:hAnsi="楷体" w:eastAsia="楷体" w:cs="楷体"/>
                <w:color w:val="auto"/>
                <w:sz w:val="20"/>
                <w:szCs w:val="20"/>
                <w:highlight w:val="none"/>
                <w:lang w:eastAsia="zh-CN"/>
              </w:rPr>
              <w:t>，</w:t>
            </w:r>
            <w:r>
              <w:rPr>
                <w:rFonts w:hint="eastAsia" w:ascii="楷体" w:hAnsi="楷体" w:eastAsia="楷体" w:cs="楷体"/>
                <w:color w:val="auto"/>
                <w:sz w:val="20"/>
                <w:szCs w:val="20"/>
                <w:highlight w:val="none"/>
                <w:lang w:val="en-US" w:eastAsia="zh-CN"/>
              </w:rPr>
              <w:t>定期支付</w:t>
            </w:r>
            <w:r>
              <w:rPr>
                <w:rFonts w:hint="eastAsia" w:ascii="楷体" w:hAnsi="楷体" w:eastAsia="楷体" w:cs="楷体"/>
                <w:color w:val="auto"/>
                <w:sz w:val="20"/>
                <w:szCs w:val="20"/>
                <w:highlight w:val="none"/>
              </w:rPr>
              <w:t>，每日应计提的固定管理费＝计提基数×固定管理费率÷365。</w:t>
            </w:r>
          </w:p>
          <w:p>
            <w:pPr>
              <w:keepNext w:val="0"/>
              <w:keepLines w:val="0"/>
              <w:pageBreakBefore w:val="0"/>
              <w:widowControl/>
              <w:numPr>
                <w:ilvl w:val="0"/>
                <w:numId w:val="0"/>
              </w:numPr>
              <w:bidi w:val="0"/>
              <w:spacing w:line="240" w:lineRule="auto"/>
              <w:jc w:val="both"/>
              <w:rPr>
                <w:rFonts w:hint="eastAsia" w:ascii="楷体" w:hAnsi="楷体" w:eastAsia="楷体" w:cs="楷体"/>
                <w:bCs/>
                <w:color w:val="000000" w:themeColor="text1"/>
                <w:sz w:val="20"/>
                <w:szCs w:val="20"/>
                <w:highlight w:val="none"/>
                <w:lang w:val="en-US" w:eastAsia="zh-CN"/>
                <w14:textFill>
                  <w14:solidFill>
                    <w14:schemeClr w14:val="tx1"/>
                  </w14:solidFill>
                </w14:textFill>
              </w:rPr>
            </w:pPr>
          </w:p>
          <w:p>
            <w:pPr>
              <w:keepNext w:val="0"/>
              <w:keepLines w:val="0"/>
              <w:pageBreakBefore w:val="0"/>
              <w:widowControl/>
              <w:numPr>
                <w:ilvl w:val="0"/>
                <w:numId w:val="0"/>
              </w:numPr>
              <w:bidi w:val="0"/>
              <w:spacing w:line="240" w:lineRule="auto"/>
              <w:jc w:val="both"/>
              <w:rPr>
                <w:rFonts w:hint="eastAsia" w:ascii="楷体" w:hAnsi="楷体" w:eastAsia="楷体" w:cs="楷体"/>
                <w:b/>
                <w:bCs w:val="0"/>
                <w:color w:val="000000" w:themeColor="text1"/>
                <w:sz w:val="20"/>
                <w:szCs w:val="20"/>
                <w:highlight w:val="none"/>
                <w:u w:val="single"/>
                <w:lang w:val="en-US" w:eastAsia="zh-CN"/>
                <w14:textFill>
                  <w14:solidFill>
                    <w14:schemeClr w14:val="tx1"/>
                  </w14:solidFill>
                </w14:textFill>
              </w:rPr>
            </w:pPr>
            <w:r>
              <w:rPr>
                <w:rFonts w:hint="eastAsia" w:ascii="楷体" w:hAnsi="楷体" w:eastAsia="楷体" w:cs="楷体"/>
                <w:b/>
                <w:bCs w:val="0"/>
                <w:color w:val="000000" w:themeColor="text1"/>
                <w:sz w:val="20"/>
                <w:szCs w:val="20"/>
                <w:highlight w:val="none"/>
                <w:u w:val="single"/>
                <w:lang w:val="en-US" w:eastAsia="zh-CN"/>
                <w14:textFill>
                  <w14:solidFill>
                    <w14:schemeClr w14:val="tx1"/>
                  </w14:solidFill>
                </w14:textFill>
              </w:rPr>
              <w:t>信息技术服务费率（年化）：0.002%。</w:t>
            </w:r>
          </w:p>
          <w:p>
            <w:pPr>
              <w:keepNext w:val="0"/>
              <w:keepLines w:val="0"/>
              <w:pageBreakBefore w:val="0"/>
              <w:widowControl/>
              <w:bidi w:val="0"/>
              <w:spacing w:line="240" w:lineRule="auto"/>
              <w:jc w:val="both"/>
              <w:rPr>
                <w:rFonts w:hint="eastAsia" w:ascii="楷体" w:hAnsi="楷体" w:eastAsia="楷体" w:cs="楷体"/>
                <w:bCs/>
                <w:color w:val="000000"/>
                <w:sz w:val="20"/>
                <w:szCs w:val="20"/>
                <w:highlight w:val="none"/>
                <w:lang w:val="en-US" w:eastAsia="zh-CN"/>
              </w:rPr>
            </w:pPr>
            <w:r>
              <w:rPr>
                <w:rFonts w:hint="eastAsia" w:ascii="楷体" w:hAnsi="楷体" w:eastAsia="楷体" w:cs="楷体"/>
                <w:bCs/>
                <w:color w:val="000000"/>
                <w:sz w:val="20"/>
                <w:szCs w:val="20"/>
                <w:highlight w:val="none"/>
                <w:lang w:val="en-US" w:eastAsia="zh-CN"/>
              </w:rPr>
              <w:t>以前一日资产净值为基数，每日计提模式。</w:t>
            </w:r>
          </w:p>
          <w:p>
            <w:pPr>
              <w:keepNext w:val="0"/>
              <w:keepLines w:val="0"/>
              <w:pageBreakBefore w:val="0"/>
              <w:widowControl/>
              <w:bidi w:val="0"/>
              <w:spacing w:line="240" w:lineRule="auto"/>
              <w:jc w:val="both"/>
              <w:rPr>
                <w:rFonts w:hint="eastAsia" w:ascii="楷体" w:hAnsi="楷体" w:eastAsia="楷体" w:cs="楷体"/>
                <w:bCs/>
                <w:color w:val="000000"/>
                <w:sz w:val="20"/>
                <w:szCs w:val="20"/>
                <w:highlight w:val="none"/>
                <w:lang w:val="en-US" w:eastAsia="zh-CN"/>
              </w:rPr>
            </w:pPr>
            <w:r>
              <w:rPr>
                <w:rFonts w:hint="eastAsia" w:ascii="楷体" w:hAnsi="楷体" w:eastAsia="楷体" w:cs="楷体"/>
                <w:bCs/>
                <w:color w:val="000000"/>
                <w:sz w:val="20"/>
                <w:szCs w:val="20"/>
                <w:highlight w:val="none"/>
                <w:lang w:val="en-US" w:eastAsia="zh-CN"/>
              </w:rPr>
              <w:t>公式如下：</w:t>
            </w:r>
          </w:p>
          <w:p>
            <w:pPr>
              <w:keepNext w:val="0"/>
              <w:keepLines w:val="0"/>
              <w:pageBreakBefore w:val="0"/>
              <w:widowControl/>
              <w:bidi w:val="0"/>
              <w:spacing w:line="240" w:lineRule="auto"/>
              <w:jc w:val="both"/>
              <w:rPr>
                <w:rFonts w:hint="eastAsia" w:ascii="楷体" w:hAnsi="楷体" w:eastAsia="楷体" w:cs="楷体"/>
                <w:bCs/>
                <w:color w:val="000000"/>
                <w:sz w:val="20"/>
                <w:szCs w:val="20"/>
                <w:highlight w:val="none"/>
                <w:lang w:val="en-US" w:eastAsia="zh-CN"/>
              </w:rPr>
            </w:pPr>
            <w:r>
              <w:rPr>
                <w:rFonts w:hint="eastAsia" w:ascii="楷体" w:hAnsi="楷体" w:eastAsia="楷体" w:cs="楷体"/>
                <w:bCs/>
                <w:color w:val="000000"/>
                <w:sz w:val="20"/>
                <w:szCs w:val="20"/>
                <w:highlight w:val="none"/>
                <w:lang w:val="en-US" w:eastAsia="zh-CN"/>
              </w:rPr>
              <w:t>每日计提模式：每日计提，定期支付，每日应计提的信息技术服务费=计提基数×信息技术服务费率÷365。</w:t>
            </w:r>
          </w:p>
          <w:p>
            <w:pPr>
              <w:keepNext w:val="0"/>
              <w:keepLines w:val="0"/>
              <w:pageBreakBefore w:val="0"/>
              <w:widowControl/>
              <w:numPr>
                <w:ilvl w:val="0"/>
                <w:numId w:val="0"/>
              </w:numPr>
              <w:bidi w:val="0"/>
              <w:spacing w:line="240" w:lineRule="auto"/>
              <w:jc w:val="both"/>
              <w:rPr>
                <w:rFonts w:hint="eastAsia" w:ascii="楷体" w:hAnsi="楷体" w:eastAsia="楷体" w:cs="楷体"/>
                <w:b/>
                <w:bCs w:val="0"/>
                <w:color w:val="000000" w:themeColor="text1"/>
                <w:sz w:val="20"/>
                <w:szCs w:val="20"/>
                <w:highlight w:val="none"/>
                <w:u w:val="single"/>
                <w:lang w:val="en-US" w:eastAsia="zh-CN"/>
                <w14:textFill>
                  <w14:solidFill>
                    <w14:schemeClr w14:val="tx1"/>
                  </w14:solidFill>
                </w14:textFill>
              </w:rPr>
            </w:pPr>
          </w:p>
          <w:p>
            <w:pPr>
              <w:keepNext w:val="0"/>
              <w:keepLines w:val="0"/>
              <w:pageBreakBefore w:val="0"/>
              <w:widowControl/>
              <w:numPr>
                <w:ilvl w:val="0"/>
                <w:numId w:val="0"/>
              </w:numPr>
              <w:bidi w:val="0"/>
              <w:spacing w:line="240" w:lineRule="auto"/>
              <w:jc w:val="both"/>
              <w:rPr>
                <w:rFonts w:hint="default" w:ascii="楷体" w:hAnsi="楷体" w:eastAsia="楷体" w:cs="楷体"/>
                <w:b/>
                <w:bCs w:val="0"/>
                <w:color w:val="000000" w:themeColor="text1"/>
                <w:sz w:val="20"/>
                <w:szCs w:val="20"/>
                <w:highlight w:val="none"/>
                <w:u w:val="single"/>
                <w:lang w:val="en-US" w:eastAsia="zh-CN"/>
                <w14:textFill>
                  <w14:solidFill>
                    <w14:schemeClr w14:val="tx1"/>
                  </w14:solidFill>
                </w14:textFill>
              </w:rPr>
            </w:pPr>
            <w:r>
              <w:rPr>
                <w:rFonts w:hint="eastAsia" w:ascii="楷体" w:hAnsi="楷体" w:eastAsia="楷体" w:cs="楷体"/>
                <w:b/>
                <w:bCs w:val="0"/>
                <w:color w:val="000000" w:themeColor="text1"/>
                <w:sz w:val="20"/>
                <w:szCs w:val="20"/>
                <w:highlight w:val="none"/>
                <w:u w:val="single"/>
                <w:lang w:val="en-US" w:eastAsia="zh-CN"/>
                <w14:textFill>
                  <w14:solidFill>
                    <w14:schemeClr w14:val="tx1"/>
                  </w14:solidFill>
                </w14:textFill>
              </w:rPr>
              <w:t>浮动管理费</w:t>
            </w:r>
          </w:p>
          <w:p>
            <w:pPr>
              <w:keepNext w:val="0"/>
              <w:keepLines w:val="0"/>
              <w:pageBreakBefore w:val="0"/>
              <w:widowControl/>
              <w:bidi w:val="0"/>
              <w:spacing w:line="240" w:lineRule="auto"/>
              <w:jc w:val="both"/>
              <w:rPr>
                <w:rFonts w:hint="eastAsia" w:eastAsia="楷体"/>
                <w:sz w:val="20"/>
                <w:szCs w:val="20"/>
                <w:highlight w:val="none"/>
                <w:lang w:val="en-US" w:eastAsia="zh-CN"/>
              </w:rPr>
            </w:pPr>
            <w:r>
              <w:rPr>
                <w:rFonts w:hint="eastAsia" w:ascii="楷体" w:hAnsi="楷体" w:eastAsia="楷体" w:cs="楷体"/>
                <w:bCs/>
                <w:color w:val="000000" w:themeColor="text1"/>
                <w:sz w:val="20"/>
                <w:szCs w:val="20"/>
                <w:highlight w:val="none"/>
                <w14:textFill>
                  <w14:solidFill>
                    <w14:schemeClr w14:val="tx1"/>
                  </w14:solidFill>
                </w14:textFill>
              </w:rPr>
              <w:t>单一投资周期运作期间内理财产品将每日暂估超额业绩报酬，仅用于理财产品会计核算，并将扣除“暂估超额业绩报酬”后的理财产品份额净值按照说明书约定向投资者进行披露。理财产品实际收取的超额业绩报酬以投资周期终止日计提核算的数值为准。计算超额业绩报酬时，1年按365日计算。</w:t>
            </w:r>
          </w:p>
          <w:p>
            <w:pPr>
              <w:keepNext w:val="0"/>
              <w:keepLines w:val="0"/>
              <w:pageBreakBefore w:val="0"/>
              <w:widowControl/>
              <w:bidi w:val="0"/>
              <w:spacing w:line="240" w:lineRule="auto"/>
              <w:jc w:val="both"/>
              <w:rPr>
                <w:rFonts w:hint="eastAsia" w:ascii="楷体" w:hAnsi="楷体" w:eastAsia="楷体" w:cs="楷体"/>
                <w:bCs/>
                <w:color w:val="000000" w:themeColor="text1"/>
                <w:sz w:val="20"/>
                <w:szCs w:val="20"/>
                <w:highlight w:val="none"/>
                <w:lang w:val="en-US" w:eastAsia="zh-CN"/>
                <w14:textFill>
                  <w14:solidFill>
                    <w14:schemeClr w14:val="tx1"/>
                  </w14:solidFill>
                </w14:textFill>
              </w:rPr>
            </w:pPr>
          </w:p>
          <w:p>
            <w:pPr>
              <w:keepNext w:val="0"/>
              <w:keepLines w:val="0"/>
              <w:pageBreakBefore w:val="0"/>
              <w:widowControl/>
              <w:numPr>
                <w:ilvl w:val="0"/>
                <w:numId w:val="0"/>
              </w:numPr>
              <w:bidi w:val="0"/>
              <w:spacing w:line="240" w:lineRule="auto"/>
              <w:jc w:val="both"/>
              <w:rPr>
                <w:rFonts w:hint="default" w:ascii="楷体" w:hAnsi="楷体" w:eastAsia="楷体" w:cs="楷体"/>
                <w:b/>
                <w:bCs w:val="0"/>
                <w:color w:val="000000" w:themeColor="text1"/>
                <w:sz w:val="20"/>
                <w:szCs w:val="20"/>
                <w:highlight w:val="none"/>
                <w:u w:val="single"/>
                <w:lang w:val="en-US" w:eastAsia="zh-CN"/>
                <w14:textFill>
                  <w14:solidFill>
                    <w14:schemeClr w14:val="tx1"/>
                  </w14:solidFill>
                </w14:textFill>
              </w:rPr>
            </w:pPr>
            <w:r>
              <w:rPr>
                <w:rFonts w:hint="eastAsia" w:ascii="楷体" w:hAnsi="楷体" w:eastAsia="楷体" w:cs="楷体"/>
                <w:b/>
                <w:bCs w:val="0"/>
                <w:color w:val="000000" w:themeColor="text1"/>
                <w:sz w:val="20"/>
                <w:szCs w:val="20"/>
                <w:highlight w:val="none"/>
                <w:u w:val="single"/>
                <w:lang w:val="en-US" w:eastAsia="zh-CN"/>
                <w14:textFill>
                  <w14:solidFill>
                    <w14:schemeClr w14:val="tx1"/>
                  </w14:solidFill>
                </w14:textFill>
              </w:rPr>
              <w:t>其它费用</w:t>
            </w:r>
          </w:p>
          <w:p>
            <w:pPr>
              <w:keepNext w:val="0"/>
              <w:keepLines w:val="0"/>
              <w:pageBreakBefore w:val="0"/>
              <w:widowControl/>
              <w:bidi w:val="0"/>
              <w:spacing w:line="240" w:lineRule="auto"/>
              <w:jc w:val="both"/>
              <w:rPr>
                <w:rFonts w:hint="eastAsia" w:ascii="楷体" w:hAnsi="楷体" w:eastAsia="楷体" w:cs="楷体"/>
                <w:bCs/>
                <w:color w:val="000000" w:themeColor="text1"/>
                <w:sz w:val="20"/>
                <w:szCs w:val="20"/>
                <w:highlight w:val="none"/>
                <w:lang w:val="en-US" w:eastAsia="zh-CN"/>
                <w14:textFill>
                  <w14:solidFill>
                    <w14:schemeClr w14:val="tx1"/>
                  </w14:solidFill>
                </w14:textFill>
              </w:rPr>
            </w:pPr>
            <w:r>
              <w:rPr>
                <w:rFonts w:hint="eastAsia" w:ascii="楷体" w:hAnsi="楷体" w:eastAsia="楷体" w:cs="楷体"/>
                <w:color w:val="auto"/>
                <w:sz w:val="20"/>
                <w:szCs w:val="20"/>
                <w:highlight w:val="none"/>
              </w:rPr>
              <w:t>产品运作和清算中产生的交易手续费、注册登记费、账户服务费、审计费及其他应由本产品承担的费用从产品中列支</w:t>
            </w:r>
            <w:r>
              <w:rPr>
                <w:rFonts w:hint="eastAsia" w:ascii="楷体" w:hAnsi="楷体" w:eastAsia="楷体" w:cs="楷体"/>
                <w:color w:val="auto"/>
                <w:sz w:val="20"/>
                <w:szCs w:val="20"/>
                <w:highlight w:val="none"/>
                <w:lang w:eastAsia="zh-CN"/>
              </w:rPr>
              <w:t>。</w:t>
            </w:r>
          </w:p>
          <w:p>
            <w:pPr>
              <w:keepNext w:val="0"/>
              <w:keepLines w:val="0"/>
              <w:pageBreakBefore w:val="0"/>
              <w:widowControl/>
              <w:bidi w:val="0"/>
              <w:spacing w:line="240" w:lineRule="auto"/>
              <w:jc w:val="both"/>
              <w:rPr>
                <w:rFonts w:hint="eastAsia" w:ascii="楷体" w:hAnsi="楷体" w:eastAsia="楷体" w:cs="楷体"/>
                <w:bCs/>
                <w:color w:val="000000" w:themeColor="text1"/>
                <w:sz w:val="20"/>
                <w:szCs w:val="20"/>
                <w:highlight w:val="none"/>
                <w:lang w:val="en-US" w:eastAsia="zh-CN"/>
                <w14:textFill>
                  <w14:solidFill>
                    <w14:schemeClr w14:val="tx1"/>
                  </w14:solidFill>
                </w14:textFill>
              </w:rPr>
            </w:pPr>
          </w:p>
          <w:p>
            <w:pPr>
              <w:keepNext w:val="0"/>
              <w:keepLines w:val="0"/>
              <w:pageBreakBefore w:val="0"/>
              <w:widowControl/>
              <w:bidi w:val="0"/>
              <w:spacing w:line="240" w:lineRule="auto"/>
              <w:jc w:val="both"/>
              <w:rPr>
                <w:rFonts w:hint="default" w:ascii="楷体" w:hAnsi="楷体" w:eastAsia="楷体" w:cs="楷体"/>
                <w:bCs/>
                <w:color w:val="000000" w:themeColor="text1"/>
                <w:sz w:val="20"/>
                <w:szCs w:val="20"/>
                <w:highlight w:val="none"/>
                <w:lang w:val="en-US" w:eastAsia="zh-CN"/>
                <w14:textFill>
                  <w14:solidFill>
                    <w14:schemeClr w14:val="tx1"/>
                  </w14:solidFill>
                </w14:textFill>
              </w:rPr>
            </w:pPr>
            <w:r>
              <w:rPr>
                <w:rFonts w:hint="eastAsia" w:ascii="楷体" w:hAnsi="楷体" w:eastAsia="楷体" w:cs="楷体"/>
                <w:bCs/>
                <w:color w:val="000000" w:themeColor="text1"/>
                <w:sz w:val="20"/>
                <w:szCs w:val="20"/>
                <w:highlight w:val="none"/>
                <w:lang w:val="en-US" w:eastAsia="zh-CN"/>
                <w14:textFill>
                  <w14:solidFill>
                    <w14:schemeClr w14:val="tx1"/>
                  </w14:solidFill>
                </w14:textFill>
              </w:rPr>
              <w:t>（三）其它说明</w:t>
            </w:r>
          </w:p>
          <w:p>
            <w:pPr>
              <w:keepNext w:val="0"/>
              <w:keepLines w:val="0"/>
              <w:pageBreakBefore w:val="0"/>
              <w:widowControl/>
              <w:numPr>
                <w:ilvl w:val="0"/>
                <w:numId w:val="0"/>
              </w:numPr>
              <w:bidi w:val="0"/>
              <w:spacing w:line="240" w:lineRule="auto"/>
              <w:jc w:val="both"/>
              <w:rPr>
                <w:rFonts w:hint="eastAsia" w:ascii="楷体" w:hAnsi="楷体" w:eastAsia="楷体" w:cs="楷体"/>
                <w:bCs/>
                <w:color w:val="000000" w:themeColor="text1"/>
                <w:sz w:val="20"/>
                <w:szCs w:val="20"/>
                <w:highlight w:val="none"/>
                <w:lang w:val="en-US" w:eastAsia="zh-CN"/>
                <w14:textFill>
                  <w14:solidFill>
                    <w14:schemeClr w14:val="tx1"/>
                  </w14:solidFill>
                </w14:textFill>
              </w:rPr>
            </w:pPr>
            <w:r>
              <w:rPr>
                <w:rFonts w:hint="eastAsia" w:ascii="楷体" w:hAnsi="楷体" w:eastAsia="楷体" w:cs="楷体"/>
                <w:bCs/>
                <w:color w:val="000000" w:themeColor="text1"/>
                <w:sz w:val="20"/>
                <w:szCs w:val="20"/>
                <w:highlight w:val="none"/>
                <w:lang w:val="en-US" w:eastAsia="zh-CN"/>
                <w14:textFill>
                  <w14:solidFill>
                    <w14:schemeClr w14:val="tx1"/>
                  </w14:solidFill>
                </w14:textFill>
              </w:rPr>
              <w:t>1.费用计算四舍五入保留至小数点后两位。</w:t>
            </w:r>
          </w:p>
          <w:p>
            <w:pPr>
              <w:keepNext w:val="0"/>
              <w:keepLines w:val="0"/>
              <w:pageBreakBefore w:val="0"/>
              <w:widowControl/>
              <w:numPr>
                <w:ilvl w:val="0"/>
                <w:numId w:val="0"/>
              </w:numPr>
              <w:bidi w:val="0"/>
              <w:spacing w:line="240" w:lineRule="auto"/>
              <w:jc w:val="both"/>
              <w:rPr>
                <w:rFonts w:hint="eastAsia" w:ascii="楷体" w:hAnsi="楷体" w:eastAsia="楷体" w:cs="楷体"/>
                <w:bCs/>
                <w:color w:val="000000" w:themeColor="text1"/>
                <w:sz w:val="20"/>
                <w:szCs w:val="20"/>
                <w:highlight w:val="none"/>
                <w:lang w:val="en-US" w:eastAsia="zh-CN"/>
                <w14:textFill>
                  <w14:solidFill>
                    <w14:schemeClr w14:val="tx1"/>
                  </w14:solidFill>
                </w14:textFill>
              </w:rPr>
            </w:pPr>
            <w:r>
              <w:rPr>
                <w:rFonts w:hint="eastAsia" w:ascii="楷体" w:hAnsi="楷体" w:eastAsia="楷体" w:cs="楷体"/>
                <w:b/>
                <w:bCs w:val="0"/>
                <w:color w:val="000000" w:themeColor="text1"/>
                <w:sz w:val="20"/>
                <w:szCs w:val="20"/>
                <w:highlight w:val="none"/>
                <w:u w:val="single"/>
                <w:lang w:val="en-US" w:eastAsia="zh-CN"/>
                <w14:textFill>
                  <w14:solidFill>
                    <w14:schemeClr w14:val="tx1"/>
                  </w14:solidFill>
                </w14:textFill>
              </w:rPr>
              <w:t>2.本产品各类份额实际收取的销售服务费率、固定管理费率等可能存在差异，投资者应根据各类份额收费情况自主选择购买。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656" w:type="dxa"/>
            <w:gridSpan w:val="2"/>
            <w:noWrap w:val="0"/>
            <w:vAlign w:val="center"/>
          </w:tcPr>
          <w:p>
            <w:pPr>
              <w:keepNext w:val="0"/>
              <w:keepLines w:val="0"/>
              <w:pageBreakBefore w:val="0"/>
              <w:widowControl/>
              <w:bidi w:val="0"/>
              <w:spacing w:line="240" w:lineRule="auto"/>
              <w:jc w:val="center"/>
              <w:rPr>
                <w:rFonts w:hint="eastAsia" w:ascii="楷体" w:hAnsi="楷体" w:eastAsia="楷体" w:cs="楷体"/>
                <w:b/>
                <w:bCs/>
                <w:color w:val="000000" w:themeColor="text1"/>
                <w:sz w:val="20"/>
                <w:szCs w:val="20"/>
                <w:highlight w:val="none"/>
                <w14:textFill>
                  <w14:solidFill>
                    <w14:schemeClr w14:val="tx1"/>
                  </w14:solidFill>
                </w14:textFill>
              </w:rPr>
            </w:pPr>
            <w:r>
              <w:rPr>
                <w:rFonts w:hint="eastAsia" w:ascii="楷体" w:hAnsi="楷体" w:eastAsia="楷体" w:cs="楷体"/>
                <w:b/>
                <w:bCs/>
                <w:color w:val="000000" w:themeColor="text1"/>
                <w:sz w:val="20"/>
                <w:szCs w:val="20"/>
                <w:highlight w:val="none"/>
                <w14:textFill>
                  <w14:solidFill>
                    <w14:schemeClr w14:val="tx1"/>
                  </w14:solidFill>
                </w14:textFill>
              </w:rPr>
              <w:t>（六）业绩比较基准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178" w:type="dxa"/>
            <w:noWrap w:val="0"/>
            <w:vAlign w:val="center"/>
          </w:tcPr>
          <w:p>
            <w:pPr>
              <w:keepNext w:val="0"/>
              <w:keepLines w:val="0"/>
              <w:pageBreakBefore w:val="0"/>
              <w:widowControl/>
              <w:bidi w:val="0"/>
              <w:spacing w:line="240" w:lineRule="auto"/>
              <w:jc w:val="center"/>
              <w:rPr>
                <w:rFonts w:hint="eastAsia" w:ascii="楷体" w:hAnsi="楷体" w:eastAsia="楷体" w:cs="楷体"/>
                <w:color w:val="000000" w:themeColor="text1"/>
                <w:sz w:val="20"/>
                <w:szCs w:val="20"/>
                <w:highlight w:val="none"/>
                <w14:textFill>
                  <w14:solidFill>
                    <w14:schemeClr w14:val="tx1"/>
                  </w14:solidFill>
                </w14:textFill>
              </w:rPr>
            </w:pPr>
            <w:r>
              <w:rPr>
                <w:rFonts w:hint="eastAsia" w:ascii="楷体" w:hAnsi="楷体" w:eastAsia="楷体" w:cs="楷体"/>
                <w:b/>
                <w:bCs/>
                <w:color w:val="000000" w:themeColor="text1"/>
                <w:sz w:val="20"/>
                <w:szCs w:val="20"/>
                <w:highlight w:val="none"/>
                <w14:textFill>
                  <w14:solidFill>
                    <w14:schemeClr w14:val="tx1"/>
                  </w14:solidFill>
                </w14:textFill>
              </w:rPr>
              <w:t>业绩比较基准</w:t>
            </w:r>
          </w:p>
        </w:tc>
        <w:tc>
          <w:tcPr>
            <w:tcW w:w="7478" w:type="dxa"/>
            <w:noWrap w:val="0"/>
            <w:vAlign w:val="center"/>
          </w:tcPr>
          <w:p>
            <w:pPr>
              <w:keepNext w:val="0"/>
              <w:keepLines w:val="0"/>
              <w:pageBreakBefore w:val="0"/>
              <w:widowControl/>
              <w:bidi w:val="0"/>
              <w:spacing w:line="240" w:lineRule="auto"/>
              <w:jc w:val="both"/>
              <w:rPr>
                <w:rFonts w:hint="eastAsia" w:ascii="楷体" w:hAnsi="楷体" w:eastAsia="楷体" w:cs="楷体"/>
                <w:sz w:val="20"/>
                <w:szCs w:val="20"/>
                <w:highlight w:val="none"/>
                <w:lang w:val="en-US" w:eastAsia="zh-CN"/>
              </w:rPr>
            </w:pPr>
            <w:r>
              <w:rPr>
                <w:rFonts w:hint="eastAsia" w:ascii="楷体" w:hAnsi="楷体" w:eastAsia="楷体" w:cs="楷体"/>
                <w:bCs/>
                <w:color w:val="000000" w:themeColor="text1"/>
                <w:sz w:val="20"/>
                <w:szCs w:val="20"/>
                <w:highlight w:val="none"/>
                <w:lang w:val="en-US" w:eastAsia="zh-CN"/>
                <w14:textFill>
                  <w14:solidFill>
                    <w14:schemeClr w14:val="tx1"/>
                  </w14:solidFill>
                </w14:textFill>
              </w:rPr>
              <w:t>A份额：2.50%-2.90%（年化）；B份额：2.50%-2.90%（年化）；C份额：2.55%-2.95%（年化）；D份额：2.50%-2.90%（年化）；E份额：2.60%-3.00%（年化）；F份额：2.55%-2.95%（年化）；H份额：2.40%-2.80%（年化）；J份额：2.55%-2.95%（年化）；K份额：2.50%-2.90%（年化）；L份额：2.50%-2.90%（年化）；N份额：2.65%-3.05%（年化）；P份额：2.45%-2.85%（年化）；JS份额：2.50%-2.90%（年化）；G份额：2.65%-3.05%（年化）；I份额：2.50%-2.90%（年化）；M份额：2.60%-3.00%（年化）；O份额：2.80%-3.20%（年化）；Z份额：2.65%-3.05%（年化）。</w:t>
            </w:r>
          </w:p>
          <w:p>
            <w:pPr>
              <w:keepNext w:val="0"/>
              <w:keepLines w:val="0"/>
              <w:pageBreakBefore w:val="0"/>
              <w:widowControl/>
              <w:numPr>
                <w:ilvl w:val="0"/>
                <w:numId w:val="0"/>
              </w:numPr>
              <w:bidi w:val="0"/>
              <w:spacing w:line="240" w:lineRule="auto"/>
              <w:jc w:val="both"/>
              <w:rPr>
                <w:rFonts w:hint="eastAsia"/>
                <w:sz w:val="20"/>
                <w:szCs w:val="20"/>
                <w:highlight w:val="none"/>
              </w:rPr>
            </w:pPr>
          </w:p>
          <w:p>
            <w:pPr>
              <w:keepNext w:val="0"/>
              <w:keepLines w:val="0"/>
              <w:pageBreakBefore w:val="0"/>
              <w:widowControl/>
              <w:numPr>
                <w:ilvl w:val="0"/>
                <w:numId w:val="0"/>
              </w:numPr>
              <w:bidi w:val="0"/>
              <w:spacing w:line="240" w:lineRule="auto"/>
              <w:jc w:val="both"/>
              <w:rPr>
                <w:rFonts w:hint="eastAsia" w:ascii="楷体" w:hAnsi="楷体" w:eastAsia="楷体" w:cs="楷体"/>
                <w:bCs/>
                <w:color w:val="000000" w:themeColor="text1"/>
                <w:sz w:val="20"/>
                <w:szCs w:val="20"/>
                <w:highlight w:val="none"/>
                <w14:textFill>
                  <w14:solidFill>
                    <w14:schemeClr w14:val="tx1"/>
                  </w14:solidFill>
                </w14:textFill>
              </w:rPr>
            </w:pPr>
            <w:r>
              <w:rPr>
                <w:rFonts w:hint="eastAsia" w:ascii="楷体" w:hAnsi="楷体" w:eastAsia="楷体" w:cs="楷体"/>
                <w:bCs/>
                <w:color w:val="000000" w:themeColor="text1"/>
                <w:sz w:val="20"/>
                <w:szCs w:val="20"/>
                <w:highlight w:val="none"/>
                <w:lang w:val="en-US" w:eastAsia="zh-CN"/>
                <w14:textFill>
                  <w14:solidFill>
                    <w14:schemeClr w14:val="tx1"/>
                  </w14:solidFill>
                </w14:textFill>
              </w:rPr>
              <w:t>1.业绩比较基准测算依据：管理人参考过往投资经验，依据近期货币市场工具、债券、非标准化债权等资产投资收益水平，在产品说明书约定的投资范围和投资比例内，综合考虑各类份额收取的销售服务费和投资管理费等费用情况，模拟测算得出业绩比较基准。业绩比较基准不是预期收益率，不代表产品的未来表现和实际收益，不构成对产品收益的承诺。</w:t>
            </w:r>
            <w:r>
              <w:rPr>
                <w:rFonts w:hint="eastAsia" w:ascii="楷体" w:hAnsi="楷体" w:eastAsia="楷体" w:cs="楷体"/>
                <w:bCs/>
                <w:color w:val="000000" w:themeColor="text1"/>
                <w:sz w:val="20"/>
                <w:szCs w:val="20"/>
                <w:highlight w:val="none"/>
                <w:lang w:val="en-US" w:eastAsia="zh-CN"/>
                <w14:textFill>
                  <w14:solidFill>
                    <w14:schemeClr w14:val="tx1"/>
                  </w14:solidFill>
                </w14:textFill>
              </w:rPr>
              <w:tab/>
            </w:r>
            <w:r>
              <w:rPr>
                <w:rFonts w:hint="eastAsia" w:ascii="楷体" w:hAnsi="楷体" w:eastAsia="楷体" w:cs="楷体"/>
                <w:bCs/>
                <w:color w:val="000000" w:themeColor="text1"/>
                <w:sz w:val="20"/>
                <w:szCs w:val="20"/>
                <w:highlight w:val="none"/>
                <w:lang w:val="en-US" w:eastAsia="zh-CN"/>
                <w14:textFill>
                  <w14:solidFill>
                    <w14:schemeClr w14:val="tx1"/>
                  </w14:solidFill>
                </w14:textFill>
              </w:rPr>
              <w:tab/>
            </w:r>
            <w:r>
              <w:rPr>
                <w:rFonts w:hint="eastAsia" w:ascii="楷体" w:hAnsi="楷体" w:eastAsia="楷体" w:cs="楷体"/>
                <w:bCs/>
                <w:color w:val="000000" w:themeColor="text1"/>
                <w:sz w:val="20"/>
                <w:szCs w:val="20"/>
                <w:highlight w:val="none"/>
                <w:lang w:val="en-US" w:eastAsia="zh-CN"/>
                <w14:textFill>
                  <w14:solidFill>
                    <w14:schemeClr w14:val="tx1"/>
                  </w14:solidFill>
                </w14:textFill>
              </w:rPr>
              <w:tab/>
            </w:r>
            <w:r>
              <w:rPr>
                <w:rFonts w:hint="eastAsia" w:ascii="楷体" w:hAnsi="楷体" w:eastAsia="楷体" w:cs="楷体"/>
                <w:bCs/>
                <w:color w:val="000000" w:themeColor="text1"/>
                <w:sz w:val="20"/>
                <w:szCs w:val="20"/>
                <w:highlight w:val="none"/>
                <w:lang w:val="en-US" w:eastAsia="zh-CN"/>
                <w14:textFill>
                  <w14:solidFill>
                    <w14:schemeClr w14:val="tx1"/>
                  </w14:solidFill>
                </w14:textFill>
              </w:rPr>
              <w:tab/>
            </w:r>
            <w:r>
              <w:rPr>
                <w:rFonts w:hint="eastAsia" w:ascii="楷体" w:hAnsi="楷体" w:eastAsia="楷体" w:cs="楷体"/>
                <w:bCs/>
                <w:color w:val="000000" w:themeColor="text1"/>
                <w:sz w:val="20"/>
                <w:szCs w:val="20"/>
                <w:highlight w:val="none"/>
                <w:lang w:val="en-US" w:eastAsia="zh-CN"/>
                <w14:textFill>
                  <w14:solidFill>
                    <w14:schemeClr w14:val="tx1"/>
                  </w14:solidFill>
                </w14:textFill>
              </w:rPr>
              <w:tab/>
            </w:r>
            <w:r>
              <w:rPr>
                <w:rFonts w:hint="eastAsia" w:ascii="楷体" w:hAnsi="楷体" w:eastAsia="楷体" w:cs="楷体"/>
                <w:bCs/>
                <w:color w:val="000000" w:themeColor="text1"/>
                <w:sz w:val="20"/>
                <w:szCs w:val="20"/>
                <w:highlight w:val="none"/>
                <w:lang w:val="en-US" w:eastAsia="zh-CN"/>
                <w14:textFill>
                  <w14:solidFill>
                    <w14:schemeClr w14:val="tx1"/>
                  </w14:solidFill>
                </w14:textFill>
              </w:rPr>
              <w:tab/>
            </w:r>
            <w:r>
              <w:rPr>
                <w:rFonts w:hint="eastAsia" w:ascii="楷体" w:hAnsi="楷体" w:eastAsia="楷体" w:cs="楷体"/>
                <w:bCs/>
                <w:color w:val="000000" w:themeColor="text1"/>
                <w:sz w:val="20"/>
                <w:szCs w:val="20"/>
                <w:highlight w:val="none"/>
                <w:lang w:val="en-US" w:eastAsia="zh-CN"/>
                <w14:textFill>
                  <w14:solidFill>
                    <w14:schemeClr w14:val="tx1"/>
                  </w14:solidFill>
                </w14:textFill>
              </w:rPr>
              <w:tab/>
            </w:r>
            <w:r>
              <w:rPr>
                <w:rFonts w:hint="eastAsia" w:ascii="楷体" w:hAnsi="楷体" w:eastAsia="楷体" w:cs="楷体"/>
                <w:bCs/>
                <w:color w:val="000000" w:themeColor="text1"/>
                <w:sz w:val="20"/>
                <w:szCs w:val="20"/>
                <w:highlight w:val="none"/>
                <w:lang w:val="en-US" w:eastAsia="zh-CN"/>
                <w14:textFill>
                  <w14:solidFill>
                    <w14:schemeClr w14:val="tx1"/>
                  </w14:solidFill>
                </w14:textFill>
              </w:rPr>
              <w:tab/>
            </w:r>
            <w:r>
              <w:rPr>
                <w:rFonts w:hint="eastAsia" w:ascii="楷体" w:hAnsi="楷体" w:eastAsia="楷体" w:cs="楷体"/>
                <w:bCs/>
                <w:color w:val="000000" w:themeColor="text1"/>
                <w:sz w:val="20"/>
                <w:szCs w:val="20"/>
                <w:highlight w:val="none"/>
                <w:lang w:val="en-US" w:eastAsia="zh-CN"/>
                <w14:textFill>
                  <w14:solidFill>
                    <w14:schemeClr w14:val="tx1"/>
                  </w14:solidFill>
                </w14:textFill>
              </w:rPr>
              <w:t>。</w:t>
            </w:r>
          </w:p>
          <w:p>
            <w:pPr>
              <w:keepNext w:val="0"/>
              <w:keepLines w:val="0"/>
              <w:pageBreakBefore w:val="0"/>
              <w:widowControl/>
              <w:bidi w:val="0"/>
              <w:spacing w:line="240" w:lineRule="auto"/>
              <w:jc w:val="both"/>
              <w:rPr>
                <w:rFonts w:hint="eastAsia" w:ascii="楷体" w:hAnsi="楷体" w:eastAsia="楷体" w:cs="楷体"/>
                <w:bCs/>
                <w:color w:val="000000" w:themeColor="text1"/>
                <w:sz w:val="20"/>
                <w:szCs w:val="20"/>
                <w:highlight w:val="none"/>
                <w14:textFill>
                  <w14:solidFill>
                    <w14:schemeClr w14:val="tx1"/>
                  </w14:solidFill>
                </w14:textFill>
              </w:rPr>
            </w:pPr>
            <w:r>
              <w:rPr>
                <w:rFonts w:hint="eastAsia" w:ascii="楷体" w:hAnsi="楷体" w:eastAsia="楷体" w:cs="楷体"/>
                <w:bCs/>
                <w:color w:val="000000" w:themeColor="text1"/>
                <w:sz w:val="20"/>
                <w:szCs w:val="20"/>
                <w:highlight w:val="none"/>
                <w14:textFill>
                  <w14:solidFill>
                    <w14:schemeClr w14:val="tx1"/>
                  </w14:solidFill>
                </w14:textFill>
              </w:rPr>
              <w:t>2.本产品各类份额可能因收取的销售服务费和</w:t>
            </w:r>
            <w:r>
              <w:rPr>
                <w:rFonts w:hint="eastAsia" w:ascii="楷体" w:hAnsi="楷体" w:eastAsia="楷体" w:cs="楷体"/>
                <w:bCs/>
                <w:color w:val="000000" w:themeColor="text1"/>
                <w:sz w:val="20"/>
                <w:szCs w:val="20"/>
                <w:highlight w:val="none"/>
                <w:lang w:val="en-US" w:eastAsia="zh-CN"/>
                <w14:textFill>
                  <w14:solidFill>
                    <w14:schemeClr w14:val="tx1"/>
                  </w14:solidFill>
                </w14:textFill>
              </w:rPr>
              <w:t>固定</w:t>
            </w:r>
            <w:r>
              <w:rPr>
                <w:rFonts w:hint="eastAsia" w:ascii="楷体" w:hAnsi="楷体" w:eastAsia="楷体" w:cs="楷体"/>
                <w:bCs/>
                <w:color w:val="000000" w:themeColor="text1"/>
                <w:sz w:val="20"/>
                <w:szCs w:val="20"/>
                <w:highlight w:val="none"/>
                <w14:textFill>
                  <w14:solidFill>
                    <w14:schemeClr w14:val="tx1"/>
                  </w14:solidFill>
                </w14:textFill>
              </w:rPr>
              <w:t>管理费存在差异，业绩比较基准设置有所不同。</w:t>
            </w:r>
          </w:p>
          <w:p>
            <w:pPr>
              <w:keepNext w:val="0"/>
              <w:keepLines w:val="0"/>
              <w:pageBreakBefore w:val="0"/>
              <w:widowControl/>
              <w:bidi w:val="0"/>
              <w:spacing w:line="240" w:lineRule="auto"/>
              <w:jc w:val="both"/>
              <w:rPr>
                <w:rFonts w:hint="eastAsia" w:ascii="楷体" w:hAnsi="楷体" w:eastAsia="楷体" w:cs="楷体"/>
                <w:b/>
                <w:bCs w:val="0"/>
                <w:color w:val="000000" w:themeColor="text1"/>
                <w:sz w:val="20"/>
                <w:szCs w:val="20"/>
                <w:highlight w:val="none"/>
                <w:u w:val="single"/>
                <w14:textFill>
                  <w14:solidFill>
                    <w14:schemeClr w14:val="tx1"/>
                  </w14:solidFill>
                </w14:textFill>
              </w:rPr>
            </w:pPr>
            <w:r>
              <w:rPr>
                <w:rFonts w:hint="eastAsia" w:ascii="楷体" w:hAnsi="楷体" w:eastAsia="楷体" w:cs="楷体"/>
                <w:b/>
                <w:bCs w:val="0"/>
                <w:color w:val="000000" w:themeColor="text1"/>
                <w:sz w:val="20"/>
                <w:szCs w:val="20"/>
                <w:highlight w:val="none"/>
                <w:u w:val="single"/>
                <w14:textFill>
                  <w14:solidFill>
                    <w14:schemeClr w14:val="tx1"/>
                  </w14:solidFill>
                </w14:textFill>
              </w:rPr>
              <w:t>3.本产品为净值型产品，业绩表现将随市场波动，具有不确定性。业绩比较基准是管理人基于产品性质、投资策略、过往经验等因素对产品设定的投资目标。业绩比较基准不是预期收益率，不代表产品的未来表现和实际收益，不构成对产品收益的承诺。投资者的实际收益由产品净值表现决定。</w:t>
            </w:r>
          </w:p>
          <w:p>
            <w:pPr>
              <w:keepNext w:val="0"/>
              <w:keepLines w:val="0"/>
              <w:pageBreakBefore w:val="0"/>
              <w:widowControl/>
              <w:bidi w:val="0"/>
              <w:spacing w:line="240" w:lineRule="auto"/>
              <w:jc w:val="both"/>
              <w:rPr>
                <w:rFonts w:hint="default" w:ascii="楷体" w:hAnsi="楷体" w:eastAsia="楷体" w:cs="楷体"/>
                <w:b w:val="0"/>
                <w:bCs/>
                <w:color w:val="000000" w:themeColor="text1"/>
                <w:sz w:val="20"/>
                <w:szCs w:val="20"/>
                <w:highlight w:val="none"/>
                <w:u w:val="none"/>
                <w:lang w:val="en-US" w:eastAsia="zh-CN"/>
                <w14:textFill>
                  <w14:solidFill>
                    <w14:schemeClr w14:val="tx1"/>
                  </w14:solidFill>
                </w14:textFill>
              </w:rPr>
            </w:pPr>
            <w:r>
              <w:rPr>
                <w:rFonts w:hint="eastAsia" w:ascii="楷体" w:hAnsi="楷体" w:eastAsia="楷体" w:cs="楷体"/>
                <w:b w:val="0"/>
                <w:bCs/>
                <w:color w:val="000000" w:themeColor="text1"/>
                <w:sz w:val="20"/>
                <w:szCs w:val="20"/>
                <w:highlight w:val="none"/>
                <w:u w:val="none"/>
                <w:lang w:val="en-US" w:eastAsia="zh-CN"/>
                <w14:textFill>
                  <w14:solidFill>
                    <w14:schemeClr w14:val="tx1"/>
                  </w14:solidFill>
                </w14:textFill>
              </w:rPr>
              <w:t>5.历次业绩比较基准调整情况（2026年9月1日之后）</w:t>
            </w:r>
          </w:p>
          <w:p>
            <w:pPr>
              <w:keepNext w:val="0"/>
              <w:keepLines w:val="0"/>
              <w:pageBreakBefore w:val="0"/>
              <w:widowControl/>
              <w:bidi w:val="0"/>
              <w:spacing w:line="240" w:lineRule="auto"/>
              <w:jc w:val="both"/>
              <w:rPr>
                <w:rFonts w:hint="default" w:ascii="楷体" w:hAnsi="楷体" w:eastAsia="楷体" w:cs="楷体"/>
                <w:bCs/>
                <w:color w:val="000000" w:themeColor="text1"/>
                <w:sz w:val="20"/>
                <w:szCs w:val="20"/>
                <w:highlight w:val="none"/>
                <w:lang w:val="en-US" w:eastAsia="zh-CN"/>
                <w14:textFill>
                  <w14:solidFill>
                    <w14:schemeClr w14:val="tx1"/>
                  </w14:solidFill>
                </w14:textFill>
              </w:rPr>
            </w:pPr>
            <w:r>
              <w:rPr>
                <w:rFonts w:hint="eastAsia" w:ascii="楷体" w:hAnsi="楷体" w:eastAsia="楷体" w:cs="楷体"/>
                <w:b w:val="0"/>
                <w:bCs/>
                <w:color w:val="000000" w:themeColor="text1"/>
                <w:sz w:val="20"/>
                <w:szCs w:val="20"/>
                <w:highlight w:val="none"/>
                <w:u w:val="none"/>
                <w:lang w:val="en-US" w:eastAsia="zh-CN"/>
                <w14:textFill>
                  <w14:solidFill>
                    <w14:schemeClr w14:val="tx1"/>
                  </w14:solidFill>
                </w14:textFill>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656" w:type="dxa"/>
            <w:gridSpan w:val="2"/>
            <w:noWrap w:val="0"/>
            <w:vAlign w:val="center"/>
          </w:tcPr>
          <w:p>
            <w:pPr>
              <w:keepNext w:val="0"/>
              <w:keepLines w:val="0"/>
              <w:pageBreakBefore w:val="0"/>
              <w:widowControl/>
              <w:bidi w:val="0"/>
              <w:spacing w:line="240" w:lineRule="auto"/>
              <w:jc w:val="center"/>
              <w:rPr>
                <w:rFonts w:hint="eastAsia" w:ascii="楷体" w:hAnsi="楷体" w:eastAsia="楷体" w:cs="楷体"/>
                <w:bCs/>
                <w:color w:val="000000" w:themeColor="text1"/>
                <w:sz w:val="20"/>
                <w:szCs w:val="20"/>
                <w:highlight w:val="none"/>
                <w14:textFill>
                  <w14:solidFill>
                    <w14:schemeClr w14:val="tx1"/>
                  </w14:solidFill>
                </w14:textFill>
              </w:rPr>
            </w:pPr>
            <w:r>
              <w:rPr>
                <w:rFonts w:hint="eastAsia" w:ascii="楷体" w:hAnsi="楷体" w:eastAsia="楷体" w:cs="楷体"/>
                <w:b/>
                <w:color w:val="000000" w:themeColor="text1"/>
                <w:sz w:val="20"/>
                <w:szCs w:val="20"/>
                <w:highlight w:val="none"/>
                <w14:textFill>
                  <w14:solidFill>
                    <w14:schemeClr w14:val="tx1"/>
                  </w14:solidFill>
                </w14:textFill>
              </w:rPr>
              <w:t>（七）投资范围与策略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178" w:type="dxa"/>
            <w:noWrap w:val="0"/>
            <w:vAlign w:val="center"/>
          </w:tcPr>
          <w:p>
            <w:pPr>
              <w:keepNext w:val="0"/>
              <w:keepLines w:val="0"/>
              <w:pageBreakBefore w:val="0"/>
              <w:widowControl/>
              <w:bidi w:val="0"/>
              <w:spacing w:line="240" w:lineRule="auto"/>
              <w:jc w:val="center"/>
              <w:rPr>
                <w:rFonts w:hint="eastAsia" w:ascii="楷体" w:hAnsi="楷体" w:eastAsia="楷体" w:cs="楷体"/>
                <w:color w:val="000000" w:themeColor="text1"/>
                <w:sz w:val="20"/>
                <w:szCs w:val="20"/>
                <w:highlight w:val="none"/>
                <w14:textFill>
                  <w14:solidFill>
                    <w14:schemeClr w14:val="tx1"/>
                  </w14:solidFill>
                </w14:textFill>
              </w:rPr>
            </w:pPr>
            <w:r>
              <w:rPr>
                <w:rFonts w:hint="eastAsia" w:ascii="楷体" w:hAnsi="楷体" w:eastAsia="楷体" w:cs="楷体"/>
                <w:b/>
                <w:bCs/>
                <w:color w:val="000000" w:themeColor="text1"/>
                <w:sz w:val="20"/>
                <w:szCs w:val="20"/>
                <w:highlight w:val="none"/>
                <w14:textFill>
                  <w14:solidFill>
                    <w14:schemeClr w14:val="tx1"/>
                  </w14:solidFill>
                </w14:textFill>
              </w:rPr>
              <w:t>投资范围</w:t>
            </w:r>
          </w:p>
        </w:tc>
        <w:tc>
          <w:tcPr>
            <w:tcW w:w="7478" w:type="dxa"/>
            <w:noWrap w:val="0"/>
            <w:vAlign w:val="center"/>
          </w:tcPr>
          <w:p>
            <w:pPr>
              <w:keepNext w:val="0"/>
              <w:keepLines w:val="0"/>
              <w:pageBreakBefore w:val="0"/>
              <w:widowControl/>
              <w:bidi w:val="0"/>
              <w:spacing w:line="240" w:lineRule="auto"/>
              <w:jc w:val="left"/>
              <w:rPr>
                <w:rFonts w:hint="default" w:ascii="楷体" w:hAnsi="楷体" w:eastAsia="楷体" w:cs="楷体"/>
                <w:bCs/>
                <w:color w:val="000000" w:themeColor="text1"/>
                <w:sz w:val="20"/>
                <w:szCs w:val="20"/>
                <w:highlight w:val="none"/>
                <w:lang w:val="en-US"/>
                <w14:textFill>
                  <w14:solidFill>
                    <w14:schemeClr w14:val="tx1"/>
                  </w14:solidFill>
                </w14:textFill>
              </w:rPr>
            </w:pPr>
            <w:r>
              <w:rPr>
                <w:rFonts w:hint="eastAsia" w:ascii="楷体" w:hAnsi="楷体" w:eastAsia="楷体" w:cs="楷体"/>
                <w:bCs/>
                <w:color w:val="000000" w:themeColor="text1"/>
                <w:sz w:val="20"/>
                <w:szCs w:val="20"/>
                <w:highlight w:val="none"/>
                <w:lang w:val="en-US" w:eastAsia="zh-CN"/>
                <w14:textFill>
                  <w14:solidFill>
                    <w14:schemeClr w14:val="tx1"/>
                  </w14:solidFill>
                </w14:textFill>
              </w:rPr>
              <w:t>本理财产品直接或间接投资于货币市场工具、债券、非标准化债权类资产和监管机构允许投资的其他资产（如纳入权益类资产核算的永续债等）。具体资产投资比例为：货币市场工具、债券、非标准化债权类资产等固定收益类资产占产品资产总值比例80%-100%，其中非标准化债权类资产合计投资比例不高于产品净资产50%；符合监管要求的其他资产占产品资产总值比例0%-20%。</w:t>
            </w:r>
          </w:p>
          <w:p>
            <w:pPr>
              <w:keepNext w:val="0"/>
              <w:keepLines w:val="0"/>
              <w:pageBreakBefore w:val="0"/>
              <w:widowControl/>
              <w:bidi w:val="0"/>
              <w:spacing w:line="240" w:lineRule="auto"/>
              <w:jc w:val="left"/>
              <w:rPr>
                <w:rFonts w:hint="eastAsia" w:ascii="楷体" w:hAnsi="楷体" w:eastAsia="楷体" w:cs="楷体"/>
                <w:bCs/>
                <w:color w:val="000000" w:themeColor="text1"/>
                <w:sz w:val="20"/>
                <w:szCs w:val="20"/>
                <w:highlight w:val="none"/>
                <w14:textFill>
                  <w14:solidFill>
                    <w14:schemeClr w14:val="tx1"/>
                  </w14:solidFill>
                </w14:textFill>
              </w:rPr>
            </w:pPr>
            <w:r>
              <w:rPr>
                <w:rFonts w:hint="eastAsia" w:ascii="楷体" w:hAnsi="楷体" w:eastAsia="楷体" w:cs="楷体"/>
                <w:bCs/>
                <w:color w:val="000000" w:themeColor="text1"/>
                <w:sz w:val="20"/>
                <w:szCs w:val="20"/>
                <w:highlight w:val="none"/>
                <w14:textFill>
                  <w14:solidFill>
                    <w14:schemeClr w14:val="tx1"/>
                  </w14:solidFill>
                </w14:textFill>
              </w:rPr>
              <w:t>相关法律法规和监管部门对以上投资范围和配置比例有另行规定的，按照监管最新规定执行。非因管理人主观因素导致突破前述比例限制的，管理人将在流动性受限资产可出售、可转让或者恢复交易的15个交易日内调整至符合相关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178" w:type="dxa"/>
            <w:noWrap w:val="0"/>
            <w:vAlign w:val="center"/>
          </w:tcPr>
          <w:p>
            <w:pPr>
              <w:keepNext w:val="0"/>
              <w:keepLines w:val="0"/>
              <w:pageBreakBefore w:val="0"/>
              <w:widowControl/>
              <w:bidi w:val="0"/>
              <w:spacing w:line="240" w:lineRule="auto"/>
              <w:jc w:val="center"/>
              <w:rPr>
                <w:rFonts w:hint="eastAsia" w:ascii="楷体" w:hAnsi="楷体" w:eastAsia="楷体" w:cs="楷体"/>
                <w:b/>
                <w:bCs/>
                <w:color w:val="000000" w:themeColor="text1"/>
                <w:sz w:val="20"/>
                <w:szCs w:val="20"/>
                <w:highlight w:val="none"/>
                <w14:textFill>
                  <w14:solidFill>
                    <w14:schemeClr w14:val="tx1"/>
                  </w14:solidFill>
                </w14:textFill>
              </w:rPr>
            </w:pPr>
            <w:r>
              <w:rPr>
                <w:rFonts w:hint="eastAsia" w:ascii="楷体" w:hAnsi="楷体" w:eastAsia="楷体" w:cs="楷体"/>
                <w:b/>
                <w:bCs/>
                <w:color w:val="000000" w:themeColor="text1"/>
                <w:sz w:val="20"/>
                <w:szCs w:val="20"/>
                <w:highlight w:val="none"/>
                <w14:textFill>
                  <w14:solidFill>
                    <w14:schemeClr w14:val="tx1"/>
                  </w14:solidFill>
                </w14:textFill>
              </w:rPr>
              <w:t>投资策略</w:t>
            </w:r>
          </w:p>
        </w:tc>
        <w:tc>
          <w:tcPr>
            <w:tcW w:w="7478" w:type="dxa"/>
            <w:noWrap w:val="0"/>
            <w:vAlign w:val="center"/>
          </w:tcPr>
          <w:p>
            <w:pPr>
              <w:keepNext w:val="0"/>
              <w:keepLines w:val="0"/>
              <w:pageBreakBefore w:val="0"/>
              <w:widowControl/>
              <w:bidi w:val="0"/>
              <w:spacing w:line="240" w:lineRule="auto"/>
              <w:jc w:val="left"/>
              <w:rPr>
                <w:rFonts w:hint="eastAsia" w:ascii="楷体" w:hAnsi="楷体" w:eastAsia="楷体" w:cs="楷体"/>
                <w:bCs/>
                <w:color w:val="000000" w:themeColor="text1"/>
                <w:sz w:val="20"/>
                <w:szCs w:val="20"/>
                <w:highlight w:val="none"/>
                <w:lang w:val="en-US" w:eastAsia="zh-CN"/>
                <w14:textFill>
                  <w14:solidFill>
                    <w14:schemeClr w14:val="tx1"/>
                  </w14:solidFill>
                </w14:textFill>
              </w:rPr>
            </w:pPr>
            <w:r>
              <w:rPr>
                <w:rFonts w:hint="eastAsia" w:ascii="楷体" w:hAnsi="楷体" w:eastAsia="楷体" w:cs="楷体"/>
                <w:bCs/>
                <w:color w:val="000000" w:themeColor="text1"/>
                <w:sz w:val="20"/>
                <w:szCs w:val="20"/>
                <w:highlight w:val="none"/>
                <w:lang w:val="en-US" w:eastAsia="zh-CN"/>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656" w:type="dxa"/>
            <w:gridSpan w:val="2"/>
            <w:noWrap w:val="0"/>
            <w:vAlign w:val="center"/>
          </w:tcPr>
          <w:p>
            <w:pPr>
              <w:keepNext w:val="0"/>
              <w:keepLines w:val="0"/>
              <w:pageBreakBefore w:val="0"/>
              <w:widowControl/>
              <w:bidi w:val="0"/>
              <w:spacing w:line="240" w:lineRule="auto"/>
              <w:jc w:val="center"/>
              <w:rPr>
                <w:rFonts w:hint="eastAsia" w:ascii="楷体" w:hAnsi="楷体" w:eastAsia="楷体" w:cs="楷体"/>
                <w:bCs/>
                <w:color w:val="000000" w:themeColor="text1"/>
                <w:sz w:val="20"/>
                <w:szCs w:val="20"/>
                <w:highlight w:val="none"/>
                <w14:textFill>
                  <w14:solidFill>
                    <w14:schemeClr w14:val="tx1"/>
                  </w14:solidFill>
                </w14:textFill>
              </w:rPr>
            </w:pPr>
            <w:r>
              <w:rPr>
                <w:rFonts w:hint="eastAsia" w:ascii="楷体" w:hAnsi="楷体" w:eastAsia="楷体" w:cs="楷体"/>
                <w:b/>
                <w:color w:val="000000" w:themeColor="text1"/>
                <w:sz w:val="20"/>
                <w:szCs w:val="20"/>
                <w:highlight w:val="none"/>
                <w14:textFill>
                  <w14:solidFill>
                    <w14:schemeClr w14:val="tx1"/>
                  </w14:solidFill>
                </w14:textFill>
              </w:rPr>
              <w:t>（八）其他约定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178" w:type="dxa"/>
            <w:noWrap w:val="0"/>
            <w:vAlign w:val="center"/>
          </w:tcPr>
          <w:p>
            <w:pPr>
              <w:keepNext w:val="0"/>
              <w:keepLines w:val="0"/>
              <w:pageBreakBefore w:val="0"/>
              <w:widowControl/>
              <w:bidi w:val="0"/>
              <w:spacing w:line="240" w:lineRule="auto"/>
              <w:jc w:val="center"/>
              <w:rPr>
                <w:rFonts w:hint="eastAsia" w:ascii="楷体" w:hAnsi="楷体" w:eastAsia="楷体" w:cs="楷体"/>
                <w:color w:val="000000" w:themeColor="text1"/>
                <w:sz w:val="20"/>
                <w:szCs w:val="20"/>
                <w:highlight w:val="none"/>
                <w14:textFill>
                  <w14:solidFill>
                    <w14:schemeClr w14:val="tx1"/>
                  </w14:solidFill>
                </w14:textFill>
              </w:rPr>
            </w:pPr>
            <w:r>
              <w:rPr>
                <w:rFonts w:hint="eastAsia" w:ascii="楷体" w:hAnsi="楷体" w:eastAsia="楷体" w:cs="楷体"/>
                <w:b/>
                <w:bCs/>
                <w:color w:val="000000" w:themeColor="text1"/>
                <w:sz w:val="20"/>
                <w:szCs w:val="20"/>
                <w:highlight w:val="none"/>
                <w14:textFill>
                  <w14:solidFill>
                    <w14:schemeClr w14:val="tx1"/>
                  </w14:solidFill>
                </w14:textFill>
              </w:rPr>
              <w:t>其他约定</w:t>
            </w:r>
          </w:p>
        </w:tc>
        <w:tc>
          <w:tcPr>
            <w:tcW w:w="7478" w:type="dxa"/>
            <w:noWrap w:val="0"/>
            <w:vAlign w:val="center"/>
          </w:tcPr>
          <w:p>
            <w:pPr>
              <w:keepNext w:val="0"/>
              <w:keepLines w:val="0"/>
              <w:pageBreakBefore w:val="0"/>
              <w:widowControl/>
              <w:numPr>
                <w:ilvl w:val="0"/>
                <w:numId w:val="0"/>
              </w:numPr>
              <w:bidi w:val="0"/>
              <w:spacing w:line="240" w:lineRule="auto"/>
              <w:jc w:val="both"/>
              <w:rPr>
                <w:rFonts w:hint="eastAsia" w:ascii="楷体" w:hAnsi="楷体" w:eastAsia="楷体" w:cs="楷体"/>
                <w:bCs/>
                <w:color w:val="000000" w:themeColor="text1"/>
                <w:sz w:val="20"/>
                <w:szCs w:val="20"/>
                <w:highlight w:val="none"/>
                <w:lang w:val="en-US" w:eastAsia="zh-CN"/>
                <w14:textFill>
                  <w14:solidFill>
                    <w14:schemeClr w14:val="tx1"/>
                  </w14:solidFill>
                </w14:textFill>
              </w:rPr>
            </w:pPr>
            <w:r>
              <w:rPr>
                <w:rFonts w:hint="eastAsia" w:ascii="楷体" w:hAnsi="楷体" w:eastAsia="楷体" w:cs="楷体"/>
                <w:color w:val="auto"/>
                <w:spacing w:val="-2"/>
                <w:sz w:val="20"/>
                <w:szCs w:val="20"/>
                <w:highlight w:val="none"/>
                <w:lang w:val="en-US" w:eastAsia="zh-CN"/>
              </w:rPr>
              <w:t>1.税款：</w:t>
            </w:r>
            <w:r>
              <w:rPr>
                <w:rFonts w:hint="eastAsia" w:ascii="楷体" w:hAnsi="楷体" w:eastAsia="楷体" w:cs="楷体"/>
                <w:color w:val="auto"/>
                <w:spacing w:val="-2"/>
                <w:sz w:val="20"/>
                <w:szCs w:val="20"/>
                <w:highlight w:val="none"/>
              </w:rPr>
              <w:t>根据中国增值税等税收相关法律法规、税收政策等要求，产品应缴纳的增值税及附加税费（包括但不限于城市维护建设税、教育费附加及地方教育附加等）</w:t>
            </w:r>
            <w:r>
              <w:rPr>
                <w:rFonts w:hint="eastAsia" w:ascii="楷体" w:hAnsi="楷体" w:eastAsia="楷体" w:cs="楷体"/>
                <w:color w:val="auto"/>
                <w:spacing w:val="-2"/>
                <w:sz w:val="20"/>
                <w:szCs w:val="20"/>
                <w:highlight w:val="none"/>
                <w:lang w:eastAsia="zh-CN"/>
              </w:rPr>
              <w:t>、</w:t>
            </w:r>
            <w:r>
              <w:rPr>
                <w:rFonts w:hint="eastAsia" w:ascii="楷体" w:hAnsi="楷体" w:eastAsia="楷体" w:cs="楷体"/>
                <w:color w:val="auto"/>
                <w:spacing w:val="-2"/>
                <w:sz w:val="20"/>
                <w:szCs w:val="20"/>
                <w:highlight w:val="none"/>
                <w:lang w:val="en-US" w:eastAsia="zh-CN"/>
              </w:rPr>
              <w:t>印花税等</w:t>
            </w:r>
            <w:r>
              <w:rPr>
                <w:rFonts w:hint="eastAsia" w:ascii="楷体" w:hAnsi="楷体" w:eastAsia="楷体" w:cs="楷体"/>
                <w:color w:val="auto"/>
                <w:spacing w:val="-2"/>
                <w:sz w:val="20"/>
                <w:szCs w:val="20"/>
                <w:highlight w:val="none"/>
              </w:rPr>
              <w:t>由管理人从理财产品财产中支付，由此可能会使理财产品净值或实际收益降低。</w:t>
            </w:r>
            <w:r>
              <w:rPr>
                <w:rFonts w:hint="eastAsia" w:ascii="楷体" w:hAnsi="楷体" w:eastAsia="楷体" w:cs="楷体"/>
                <w:b/>
                <w:bCs/>
                <w:color w:val="auto"/>
                <w:spacing w:val="-2"/>
                <w:sz w:val="20"/>
                <w:szCs w:val="20"/>
                <w:highlight w:val="none"/>
                <w:u w:val="single"/>
              </w:rPr>
              <w:t>投资者从理财产品取得的收益应缴纳的税款，由投资者自行申报及缴纳。</w:t>
            </w:r>
          </w:p>
        </w:tc>
      </w:tr>
    </w:tbl>
    <w:p>
      <w:pPr>
        <w:keepNext w:val="0"/>
        <w:keepLines w:val="0"/>
        <w:pageBreakBefore w:val="0"/>
        <w:numPr>
          <w:ilvl w:val="0"/>
          <w:numId w:val="2"/>
        </w:numPr>
        <w:tabs>
          <w:tab w:val="left" w:pos="1134"/>
        </w:tabs>
        <w:bidi w:val="0"/>
        <w:spacing w:line="240" w:lineRule="auto"/>
        <w:ind w:left="0" w:firstLine="422"/>
        <w:outlineLvl w:val="1"/>
        <w:rPr>
          <w:rFonts w:hint="eastAsia" w:ascii="楷体" w:hAnsi="楷体" w:eastAsia="楷体" w:cs="楷体"/>
          <w:b/>
          <w:color w:val="auto"/>
          <w:sz w:val="21"/>
          <w:szCs w:val="21"/>
          <w:highlight w:val="none"/>
        </w:rPr>
      </w:pPr>
      <w:r>
        <w:rPr>
          <w:rFonts w:hint="eastAsia" w:ascii="楷体" w:hAnsi="楷体" w:eastAsia="楷体" w:cs="楷体"/>
          <w:b/>
          <w:color w:val="auto"/>
          <w:sz w:val="21"/>
          <w:szCs w:val="21"/>
          <w:highlight w:val="none"/>
        </w:rPr>
        <w:t>产品管理人</w:t>
      </w:r>
    </w:p>
    <w:p>
      <w:pPr>
        <w:keepNext w:val="0"/>
        <w:keepLines w:val="0"/>
        <w:pageBreakBefore w:val="0"/>
        <w:numPr>
          <w:ilvl w:val="0"/>
          <w:numId w:val="0"/>
        </w:numPr>
        <w:bidi w:val="0"/>
        <w:spacing w:line="240" w:lineRule="auto"/>
        <w:ind w:firstLine="420"/>
        <w:rPr>
          <w:rFonts w:hint="eastAsia" w:ascii="楷体" w:hAnsi="楷体" w:eastAsia="楷体" w:cs="楷体"/>
          <w:color w:val="auto"/>
          <w:sz w:val="21"/>
          <w:szCs w:val="21"/>
          <w:highlight w:val="none"/>
          <w:lang w:val="en-US" w:eastAsia="zh-CN"/>
        </w:rPr>
      </w:pPr>
      <w:r>
        <w:rPr>
          <w:rFonts w:hint="eastAsia" w:ascii="楷体" w:hAnsi="楷体" w:eastAsia="楷体" w:cs="楷体"/>
          <w:color w:val="auto"/>
          <w:sz w:val="21"/>
          <w:szCs w:val="21"/>
          <w:highlight w:val="none"/>
          <w:lang w:val="en-US" w:eastAsia="zh-CN"/>
        </w:rPr>
        <w:t>（一）主要职责</w:t>
      </w:r>
    </w:p>
    <w:p>
      <w:pPr>
        <w:keepNext w:val="0"/>
        <w:keepLines w:val="0"/>
        <w:pageBreakBefore w:val="0"/>
        <w:numPr>
          <w:ilvl w:val="0"/>
          <w:numId w:val="0"/>
        </w:numPr>
        <w:bidi w:val="0"/>
        <w:spacing w:line="240" w:lineRule="auto"/>
        <w:ind w:firstLine="420"/>
        <w:rPr>
          <w:rFonts w:hint="eastAsia" w:ascii="楷体" w:hAnsi="楷体" w:eastAsia="楷体" w:cs="楷体"/>
          <w:color w:val="auto"/>
          <w:sz w:val="21"/>
          <w:szCs w:val="21"/>
          <w:highlight w:val="none"/>
          <w:lang w:val="en-US" w:eastAsia="zh-CN"/>
        </w:rPr>
      </w:pPr>
      <w:r>
        <w:rPr>
          <w:rFonts w:hint="eastAsia" w:ascii="楷体" w:hAnsi="楷体" w:eastAsia="楷体" w:cs="楷体"/>
          <w:color w:val="auto"/>
          <w:sz w:val="21"/>
          <w:szCs w:val="21"/>
          <w:highlight w:val="none"/>
        </w:rPr>
        <w:t>按照法律法规、监管规定及理财产品销售文件的约定，发行并管理理财产品；根据理财产品的投资组合、同类产品过往业绩和风险状况等因素，对理财产品进行评级；按照法律法规、监管规定及与投资者约定的信息披露渠道及时披露理财产品相关信息；按照理财产品销售文件约定的投资范围和权限，负责理财产品资金的运用和管理，向投资者进行收益分配；审慎选择理财产品销售机构，切实履行对销售机构的管理责任；根据法律法规、监管规定建立健全投资者权益保护管理体系；国务院银行业监督管理机构规定及本理财产品销售文件中约定的其他职责。</w:t>
      </w:r>
    </w:p>
    <w:p>
      <w:pPr>
        <w:keepNext w:val="0"/>
        <w:keepLines w:val="0"/>
        <w:pageBreakBefore w:val="0"/>
        <w:numPr>
          <w:ilvl w:val="0"/>
          <w:numId w:val="0"/>
        </w:numPr>
        <w:bidi w:val="0"/>
        <w:spacing w:line="240" w:lineRule="auto"/>
        <w:ind w:firstLine="420"/>
        <w:rPr>
          <w:rFonts w:hint="default"/>
          <w:sz w:val="21"/>
          <w:szCs w:val="21"/>
          <w:highlight w:val="none"/>
          <w:lang w:val="en-US" w:eastAsia="zh-CN"/>
        </w:rPr>
      </w:pPr>
      <w:r>
        <w:rPr>
          <w:rFonts w:hint="eastAsia" w:ascii="楷体" w:hAnsi="楷体" w:eastAsia="楷体" w:cs="楷体"/>
          <w:color w:val="auto"/>
          <w:sz w:val="21"/>
          <w:szCs w:val="21"/>
          <w:highlight w:val="none"/>
          <w:lang w:val="en-US" w:eastAsia="zh-CN"/>
        </w:rPr>
        <w:t>（二）基本信息</w:t>
      </w:r>
    </w:p>
    <w:p>
      <w:pPr>
        <w:keepNext w:val="0"/>
        <w:keepLines w:val="0"/>
        <w:pageBreakBefore w:val="0"/>
        <w:numPr>
          <w:ilvl w:val="0"/>
          <w:numId w:val="0"/>
        </w:numPr>
        <w:pBdr>
          <w:top w:val="none" w:color="000000" w:sz="0" w:space="0"/>
          <w:left w:val="none" w:color="000000" w:sz="0" w:space="0"/>
          <w:bottom w:val="none" w:color="000000" w:sz="0" w:space="0"/>
          <w:right w:val="none" w:color="000000" w:sz="0" w:space="0"/>
        </w:pBdr>
        <w:spacing w:line="240" w:lineRule="auto"/>
        <w:ind w:firstLine="420"/>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本产品管理人为</w:t>
      </w:r>
      <w:r>
        <w:rPr>
          <w:rFonts w:hint="eastAsia" w:ascii="楷体" w:hAnsi="楷体" w:eastAsia="楷体" w:cs="楷体"/>
          <w:b/>
          <w:bCs/>
          <w:color w:val="auto"/>
          <w:sz w:val="21"/>
          <w:szCs w:val="21"/>
          <w:highlight w:val="none"/>
          <w:u w:val="single"/>
        </w:rPr>
        <w:t>苏银理财有限责任公司</w:t>
      </w:r>
      <w:r>
        <w:rPr>
          <w:rFonts w:hint="eastAsia" w:ascii="楷体" w:hAnsi="楷体" w:eastAsia="楷体" w:cs="楷体"/>
          <w:color w:val="auto"/>
          <w:sz w:val="21"/>
          <w:szCs w:val="21"/>
          <w:highlight w:val="none"/>
          <w:lang w:val="en-US" w:eastAsia="zh-CN"/>
        </w:rPr>
        <w:t>，注册地址为</w:t>
      </w:r>
      <w:r>
        <w:rPr>
          <w:rFonts w:hint="eastAsia" w:ascii="楷体" w:hAnsi="楷体" w:eastAsia="楷体" w:cs="楷体"/>
          <w:color w:val="auto"/>
          <w:sz w:val="21"/>
          <w:szCs w:val="21"/>
          <w:highlight w:val="none"/>
        </w:rPr>
        <w:t>南京市建邺区江山大街70号国际博览中心三期B幢11-13层</w:t>
      </w:r>
      <w:r>
        <w:rPr>
          <w:rFonts w:hint="eastAsia" w:ascii="楷体" w:hAnsi="楷体" w:eastAsia="楷体" w:cs="楷体"/>
          <w:color w:val="auto"/>
          <w:sz w:val="21"/>
          <w:szCs w:val="21"/>
          <w:highlight w:val="none"/>
          <w:lang w:val="en-US" w:eastAsia="zh-CN"/>
        </w:rPr>
        <w:t>，联系电话为</w:t>
      </w:r>
      <w:r>
        <w:rPr>
          <w:rFonts w:hint="eastAsia" w:ascii="楷体" w:hAnsi="楷体" w:eastAsia="楷体" w:cs="楷体"/>
          <w:color w:val="auto"/>
          <w:sz w:val="21"/>
          <w:szCs w:val="21"/>
          <w:highlight w:val="none"/>
        </w:rPr>
        <w:t>95319-8-2</w:t>
      </w:r>
      <w:r>
        <w:rPr>
          <w:rFonts w:hint="eastAsia" w:ascii="楷体" w:hAnsi="楷体" w:eastAsia="楷体" w:cs="楷体"/>
          <w:color w:val="auto"/>
          <w:sz w:val="21"/>
          <w:szCs w:val="21"/>
          <w:highlight w:val="none"/>
          <w:lang w:val="en-US" w:eastAsia="zh-CN"/>
        </w:rPr>
        <w:t>。</w:t>
      </w:r>
      <w:r>
        <w:rPr>
          <w:rFonts w:hint="eastAsia" w:ascii="楷体" w:hAnsi="楷体" w:eastAsia="楷体" w:cs="楷体"/>
          <w:color w:val="auto"/>
          <w:sz w:val="21"/>
          <w:szCs w:val="21"/>
          <w:highlight w:val="none"/>
        </w:rPr>
        <w:t>苏银理财系江苏银行股份有限公司全资控股的银行理财子公司。公司主要业务范围：面向不特定社会公众公开发行理财产品，对受托的投资和财产进行投资和管理；面向合格投资者非公开发行理财产品，对受托的投资和财产进行投资和管理；理财顾问和咨询服务；经</w:t>
      </w:r>
      <w:r>
        <w:rPr>
          <w:rFonts w:hint="eastAsia" w:ascii="楷体" w:hAnsi="楷体" w:eastAsia="楷体" w:cs="楷体"/>
          <w:color w:val="auto"/>
          <w:sz w:val="21"/>
          <w:szCs w:val="21"/>
          <w:highlight w:val="none"/>
          <w:lang w:val="en-US" w:eastAsia="zh-CN"/>
        </w:rPr>
        <w:t>监管机构</w:t>
      </w:r>
      <w:r>
        <w:rPr>
          <w:rFonts w:hint="eastAsia" w:ascii="楷体" w:hAnsi="楷体" w:eastAsia="楷体" w:cs="楷体"/>
          <w:color w:val="auto"/>
          <w:sz w:val="21"/>
          <w:szCs w:val="21"/>
          <w:highlight w:val="none"/>
        </w:rPr>
        <w:t>批准的其他业务等。</w:t>
      </w:r>
    </w:p>
    <w:p>
      <w:pPr>
        <w:keepNext w:val="0"/>
        <w:keepLines w:val="0"/>
        <w:pageBreakBefore w:val="0"/>
        <w:numPr>
          <w:ilvl w:val="0"/>
          <w:numId w:val="0"/>
        </w:numPr>
        <w:bidi w:val="0"/>
        <w:spacing w:line="240" w:lineRule="auto"/>
        <w:ind w:firstLine="420"/>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投资者在此授权并同意苏银理财享有以下权利：按照本理财产品合同的约定，管理、运用和处分理财计划资金；按照本理财产品合同的约定，及时、足额获得投资管理费；管理人有权依照法律规定和监管机构的要求将投资者的信息向有权部门或相关机构披露；以理财产品投资管理人的名义，依照法律法规相关规定以及为理财产品的利益，对被投资的各类基金、公司/企业等行使出资人/投资者权利（包括但不限于表决投票的权利）以及行使因理财产品投资于证券类基础资产（含债券）或其他基础资产（包括但不限于债权类资产）所产生的相关权利；以理财产品投资管理人的名义，依照法律法规相关规定以及代表理财产品份额持有人的利益行使代为追索的权利（包括但不限于提起诉讼/仲裁、申请保全/执行的权利）或者实施其他法律行为；法律法规、监管政策和本理财计划文件约定的其他权利。</w:t>
      </w:r>
    </w:p>
    <w:p>
      <w:pPr>
        <w:keepNext w:val="0"/>
        <w:keepLines w:val="0"/>
        <w:pageBreakBefore w:val="0"/>
        <w:numPr>
          <w:ilvl w:val="0"/>
          <w:numId w:val="2"/>
        </w:numPr>
        <w:tabs>
          <w:tab w:val="left" w:pos="1134"/>
        </w:tabs>
        <w:bidi w:val="0"/>
        <w:spacing w:line="240" w:lineRule="auto"/>
        <w:ind w:left="0" w:firstLine="422"/>
        <w:outlineLvl w:val="1"/>
        <w:rPr>
          <w:rFonts w:hint="eastAsia" w:ascii="楷体" w:hAnsi="楷体" w:eastAsia="楷体" w:cs="楷体"/>
          <w:b/>
          <w:color w:val="auto"/>
          <w:sz w:val="21"/>
          <w:szCs w:val="21"/>
          <w:highlight w:val="none"/>
        </w:rPr>
      </w:pPr>
      <w:r>
        <w:rPr>
          <w:rFonts w:hint="eastAsia" w:ascii="楷体" w:hAnsi="楷体" w:eastAsia="楷体" w:cs="楷体"/>
          <w:b/>
          <w:color w:val="auto"/>
          <w:sz w:val="21"/>
          <w:szCs w:val="21"/>
          <w:highlight w:val="none"/>
        </w:rPr>
        <w:t>产品托管人</w:t>
      </w:r>
    </w:p>
    <w:p>
      <w:pPr>
        <w:keepNext w:val="0"/>
        <w:keepLines w:val="0"/>
        <w:pageBreakBefore w:val="0"/>
        <w:numPr>
          <w:ilvl w:val="0"/>
          <w:numId w:val="0"/>
        </w:numPr>
        <w:bidi w:val="0"/>
        <w:spacing w:line="240" w:lineRule="auto"/>
        <w:ind w:firstLine="420"/>
        <w:rPr>
          <w:rFonts w:hint="eastAsia" w:ascii="楷体" w:hAnsi="楷体" w:eastAsia="楷体" w:cs="楷体"/>
          <w:color w:val="auto"/>
          <w:sz w:val="21"/>
          <w:szCs w:val="21"/>
          <w:highlight w:val="none"/>
          <w:lang w:val="en-US" w:eastAsia="zh-CN"/>
        </w:rPr>
      </w:pPr>
      <w:r>
        <w:rPr>
          <w:rFonts w:hint="eastAsia" w:ascii="楷体" w:hAnsi="楷体" w:eastAsia="楷体" w:cs="楷体"/>
          <w:color w:val="auto"/>
          <w:sz w:val="21"/>
          <w:szCs w:val="21"/>
          <w:highlight w:val="none"/>
          <w:lang w:val="en-US" w:eastAsia="zh-CN"/>
        </w:rPr>
        <w:t>（一）主要职责</w:t>
      </w:r>
    </w:p>
    <w:p>
      <w:pPr>
        <w:keepNext w:val="0"/>
        <w:keepLines w:val="0"/>
        <w:pageBreakBefore w:val="0"/>
        <w:numPr>
          <w:ilvl w:val="0"/>
          <w:numId w:val="0"/>
        </w:numPr>
        <w:bidi w:val="0"/>
        <w:spacing w:line="240" w:lineRule="auto"/>
        <w:ind w:firstLine="420"/>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安全保管理财产品财产；为理财产品开立银行托管账户、证券账户等；确认与执行理财产品资金划拨指令，办理理财产品资金的收付，核对理财产品资金划拨记录；建立与理财产品管理人的对账机制，复核理财产品资产净值、理财产品份额申购、赎回价格，及时核查投资资金的支付和到账情况；监督理财产品投资运作；办理与理财产品托管业务活动相关的信息披露事项；保存理财产品托管业务活动的记录、账册、报表和其他相关材料；对理财产品投资信息和相关资料承担保密责任；国务院银行业监督管理机构规定的其他职责。</w:t>
      </w:r>
    </w:p>
    <w:p>
      <w:pPr>
        <w:keepNext w:val="0"/>
        <w:keepLines w:val="0"/>
        <w:pageBreakBefore w:val="0"/>
        <w:numPr>
          <w:ilvl w:val="0"/>
          <w:numId w:val="0"/>
        </w:numPr>
        <w:bidi w:val="0"/>
        <w:spacing w:line="240" w:lineRule="auto"/>
        <w:ind w:firstLine="420"/>
        <w:rPr>
          <w:rFonts w:hint="default"/>
          <w:sz w:val="21"/>
          <w:szCs w:val="21"/>
          <w:highlight w:val="none"/>
          <w:lang w:val="en-US" w:eastAsia="zh-CN"/>
        </w:rPr>
      </w:pPr>
      <w:r>
        <w:rPr>
          <w:rFonts w:hint="eastAsia" w:ascii="楷体" w:hAnsi="楷体" w:eastAsia="楷体" w:cs="楷体"/>
          <w:color w:val="auto"/>
          <w:sz w:val="21"/>
          <w:szCs w:val="21"/>
          <w:highlight w:val="none"/>
          <w:lang w:val="en-US" w:eastAsia="zh-CN"/>
        </w:rPr>
        <w:t>（二）基本信息</w:t>
      </w:r>
    </w:p>
    <w:p>
      <w:pPr>
        <w:keepNext w:val="0"/>
        <w:keepLines w:val="0"/>
        <w:pageBreakBefore w:val="0"/>
        <w:numPr>
          <w:ilvl w:val="0"/>
          <w:numId w:val="0"/>
        </w:numPr>
        <w:bidi w:val="0"/>
        <w:spacing w:line="240" w:lineRule="auto"/>
        <w:ind w:firstLine="420"/>
        <w:rPr>
          <w:rFonts w:hint="eastAsia" w:ascii="楷体" w:hAnsi="楷体" w:eastAsia="楷体" w:cs="楷体"/>
          <w:b w:val="0"/>
          <w:bCs w:val="0"/>
          <w:sz w:val="21"/>
          <w:szCs w:val="21"/>
          <w:highlight w:val="none"/>
          <w:u w:val="none"/>
          <w:lang w:val="en-US" w:eastAsia="zh-CN"/>
        </w:rPr>
      </w:pPr>
      <w:r>
        <w:rPr>
          <w:rFonts w:hint="eastAsia" w:ascii="楷体" w:hAnsi="楷体" w:eastAsia="楷体" w:cs="楷体"/>
          <w:color w:val="auto"/>
          <w:sz w:val="21"/>
          <w:szCs w:val="21"/>
          <w:highlight w:val="none"/>
        </w:rPr>
        <w:t>本产品托管人为中国工商银行股份有限公司，注册地址为北京市西城区复兴门内大街55号，联系电话为010-66105799。</w:t>
      </w:r>
    </w:p>
    <w:p>
      <w:pPr>
        <w:keepNext w:val="0"/>
        <w:keepLines w:val="0"/>
        <w:pageBreakBefore w:val="0"/>
        <w:numPr>
          <w:ilvl w:val="0"/>
          <w:numId w:val="0"/>
        </w:numPr>
        <w:bidi w:val="0"/>
        <w:spacing w:line="240" w:lineRule="auto"/>
        <w:ind w:firstLine="420"/>
        <w:rPr>
          <w:rFonts w:hint="default" w:ascii="楷体" w:hAnsi="楷体" w:eastAsia="楷体" w:cs="楷体"/>
          <w:b w:val="0"/>
          <w:bCs w:val="0"/>
          <w:color w:val="0000FF"/>
          <w:sz w:val="21"/>
          <w:szCs w:val="21"/>
          <w:highlight w:val="none"/>
          <w:u w:val="none"/>
          <w:lang w:val="en-US" w:eastAsia="zh-CN" w:bidi="ar-SA"/>
        </w:rPr>
      </w:pPr>
      <w:r>
        <w:rPr>
          <w:rFonts w:hint="eastAsia" w:ascii="楷体" w:hAnsi="楷体" w:eastAsia="楷体" w:cs="楷体"/>
          <w:color w:val="auto"/>
          <w:sz w:val="21"/>
          <w:szCs w:val="21"/>
          <w:highlight w:val="none"/>
          <w:lang w:val="en-US" w:eastAsia="zh-CN"/>
        </w:rPr>
        <w:t>（三）关联关系情况</w:t>
      </w:r>
    </w:p>
    <w:p>
      <w:pPr>
        <w:keepNext w:val="0"/>
        <w:keepLines w:val="0"/>
        <w:pageBreakBefore w:val="0"/>
        <w:numPr>
          <w:ilvl w:val="0"/>
          <w:numId w:val="0"/>
        </w:numPr>
        <w:bidi w:val="0"/>
        <w:spacing w:line="240" w:lineRule="auto"/>
        <w:ind w:firstLine="422"/>
        <w:rPr>
          <w:rFonts w:hint="default" w:ascii="楷体" w:hAnsi="楷体" w:eastAsia="楷体" w:cs="楷体"/>
          <w:color w:val="auto"/>
          <w:sz w:val="21"/>
          <w:szCs w:val="21"/>
          <w:highlight w:val="none"/>
          <w:lang w:val="en-US" w:eastAsia="zh-CN"/>
        </w:rPr>
      </w:pPr>
      <w:r>
        <w:rPr>
          <w:rFonts w:hint="eastAsia" w:ascii="楷体" w:hAnsi="楷体" w:eastAsia="楷体" w:cs="楷体"/>
          <w:b/>
          <w:bCs/>
          <w:color w:val="auto"/>
          <w:sz w:val="21"/>
          <w:szCs w:val="21"/>
          <w:highlight w:val="none"/>
          <w:u w:val="single"/>
          <w:lang w:val="en-US" w:eastAsia="zh-CN"/>
        </w:rPr>
        <w:t>无。</w:t>
      </w:r>
    </w:p>
    <w:p>
      <w:pPr>
        <w:keepNext w:val="0"/>
        <w:keepLines w:val="0"/>
        <w:pageBreakBefore w:val="0"/>
        <w:numPr>
          <w:ilvl w:val="0"/>
          <w:numId w:val="2"/>
        </w:numPr>
        <w:tabs>
          <w:tab w:val="left" w:pos="1134"/>
        </w:tabs>
        <w:bidi w:val="0"/>
        <w:spacing w:line="240" w:lineRule="auto"/>
        <w:ind w:left="0" w:firstLine="422"/>
        <w:outlineLvl w:val="1"/>
        <w:rPr>
          <w:rFonts w:hint="eastAsia" w:ascii="楷体" w:hAnsi="楷体" w:eastAsia="楷体" w:cs="楷体"/>
          <w:b/>
          <w:color w:val="auto"/>
          <w:sz w:val="21"/>
          <w:szCs w:val="21"/>
          <w:highlight w:val="none"/>
        </w:rPr>
      </w:pPr>
      <w:r>
        <w:rPr>
          <w:rFonts w:hint="eastAsia" w:ascii="楷体" w:hAnsi="楷体" w:eastAsia="楷体" w:cs="楷体"/>
          <w:b/>
          <w:color w:val="auto"/>
          <w:sz w:val="21"/>
          <w:szCs w:val="21"/>
          <w:highlight w:val="none"/>
        </w:rPr>
        <w:t>销售机构</w:t>
      </w:r>
    </w:p>
    <w:p>
      <w:pPr>
        <w:keepNext w:val="0"/>
        <w:keepLines w:val="0"/>
        <w:pageBreakBefore w:val="0"/>
        <w:numPr>
          <w:ilvl w:val="0"/>
          <w:numId w:val="0"/>
        </w:numPr>
        <w:bidi w:val="0"/>
        <w:spacing w:line="240" w:lineRule="auto"/>
        <w:ind w:firstLine="420"/>
        <w:rPr>
          <w:rFonts w:hint="eastAsia" w:ascii="楷体" w:hAnsi="楷体" w:eastAsia="楷体" w:cs="楷体"/>
          <w:color w:val="auto"/>
          <w:sz w:val="21"/>
          <w:szCs w:val="21"/>
          <w:highlight w:val="none"/>
          <w:lang w:val="en-US" w:eastAsia="zh-CN"/>
        </w:rPr>
      </w:pPr>
      <w:r>
        <w:rPr>
          <w:rFonts w:hint="eastAsia" w:ascii="楷体" w:hAnsi="楷体" w:eastAsia="楷体" w:cs="楷体"/>
          <w:color w:val="auto"/>
          <w:sz w:val="21"/>
          <w:szCs w:val="21"/>
          <w:highlight w:val="none"/>
          <w:lang w:val="en-US" w:eastAsia="zh-CN"/>
        </w:rPr>
        <w:t>（一）主要职责</w:t>
      </w:r>
    </w:p>
    <w:p>
      <w:pPr>
        <w:keepNext w:val="0"/>
        <w:keepLines w:val="0"/>
        <w:pageBreakBefore w:val="0"/>
        <w:numPr>
          <w:ilvl w:val="0"/>
          <w:numId w:val="0"/>
        </w:numPr>
        <w:tabs>
          <w:tab w:val="left" w:pos="993"/>
        </w:tabs>
        <w:bidi w:val="0"/>
        <w:spacing w:line="240" w:lineRule="auto"/>
        <w:ind w:left="0" w:firstLine="420"/>
        <w:rPr>
          <w:rFonts w:hint="eastAsia" w:ascii="楷体" w:hAnsi="楷体" w:eastAsia="楷体" w:cs="楷体"/>
          <w:b w:val="0"/>
          <w:bCs w:val="0"/>
          <w:sz w:val="21"/>
          <w:szCs w:val="21"/>
          <w:highlight w:val="none"/>
          <w:u w:val="none"/>
        </w:rPr>
      </w:pPr>
      <w:r>
        <w:rPr>
          <w:rFonts w:hint="eastAsia" w:ascii="楷体" w:hAnsi="楷体" w:eastAsia="楷体" w:cs="楷体"/>
          <w:b w:val="0"/>
          <w:bCs w:val="0"/>
          <w:sz w:val="21"/>
          <w:szCs w:val="21"/>
          <w:highlight w:val="none"/>
          <w:u w:val="none"/>
        </w:rPr>
        <w:t>销售机构负责理财产品宣传推广、投资者风险承受能力评估和投资者适当性管理、理财产品投资者身份识别及反洗钱、反恐怖融资及非居民金融账户涉税信息调查、理财产品份额认购/申购/赎回、协助管理人与投资者订立理财产品销售文件、协助投资者与管理人沟通、接受投资者咨询和投资者维护等销售服务工作。销售机构不承担产品的投资和兑付责任，产品的投资和兑付责任由管理人承担。</w:t>
      </w:r>
    </w:p>
    <w:p>
      <w:pPr>
        <w:keepNext w:val="0"/>
        <w:keepLines w:val="0"/>
        <w:pageBreakBefore w:val="0"/>
        <w:numPr>
          <w:ilvl w:val="0"/>
          <w:numId w:val="0"/>
        </w:numPr>
        <w:bidi w:val="0"/>
        <w:spacing w:line="240" w:lineRule="auto"/>
        <w:ind w:firstLine="420"/>
        <w:rPr>
          <w:rFonts w:hint="eastAsia" w:ascii="楷体" w:hAnsi="楷体" w:eastAsia="楷体" w:cs="楷体"/>
          <w:color w:val="auto"/>
          <w:sz w:val="21"/>
          <w:szCs w:val="21"/>
          <w:highlight w:val="none"/>
          <w:lang w:val="en-US" w:eastAsia="zh-CN"/>
        </w:rPr>
      </w:pPr>
      <w:r>
        <w:rPr>
          <w:rFonts w:hint="eastAsia" w:ascii="楷体" w:hAnsi="楷体" w:eastAsia="楷体" w:cs="楷体"/>
          <w:color w:val="auto"/>
          <w:sz w:val="21"/>
          <w:szCs w:val="21"/>
          <w:highlight w:val="none"/>
          <w:lang w:val="en-US" w:eastAsia="zh-CN"/>
        </w:rPr>
        <w:t>（二）基本信息</w:t>
      </w:r>
    </w:p>
    <w:p>
      <w:pPr>
        <w:keepNext w:val="0"/>
        <w:keepLines w:val="0"/>
        <w:pageBreakBefore w:val="0"/>
        <w:numPr>
          <w:ilvl w:val="0"/>
          <w:numId w:val="0"/>
        </w:numPr>
        <w:tabs>
          <w:tab w:val="left" w:pos="993"/>
        </w:tabs>
        <w:bidi w:val="0"/>
        <w:spacing w:line="240" w:lineRule="auto"/>
        <w:ind w:left="0" w:firstLine="42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本产品销售机构基本信息如下：</w:t>
      </w:r>
    </w:p>
    <w:p>
      <w:pPr>
        <w:pStyle w:val="28"/>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（1）机构全称：北京农村商业银行股份有限公司，注册地址为北京市西城区月坛南街1号院2号楼，联系电话为010-63229157；</w:t>
      </w:r>
    </w:p>
    <w:p>
      <w:pPr>
        <w:pStyle w:val="28"/>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（2）机构全称：东营银行股份有限公司，注册地址为山东省东营市东营区府前大街87-1号，联系电话为0546-7666871；</w:t>
      </w:r>
    </w:p>
    <w:p>
      <w:pPr>
        <w:pStyle w:val="28"/>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（3）机构全称：东莞农村商业银行股份有限公司，注册地址为中国广东省东莞市东城区鸿福东路2号，联系电话为0769-21383246；</w:t>
      </w:r>
    </w:p>
    <w:p>
      <w:pPr>
        <w:pStyle w:val="28"/>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（4）机构全称：甘肃银行股份有限公司，注册地址为甘肃省兰州市城关区东岗西路525-1号，联系电话为0931-8770491；</w:t>
      </w:r>
    </w:p>
    <w:p>
      <w:pPr>
        <w:pStyle w:val="28"/>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（5）机构全称：广州农村商业银行股份有限公司，注册地址为广州市黄埔区映日路9号，联系电话为020-28852673；</w:t>
      </w:r>
    </w:p>
    <w:p>
      <w:pPr>
        <w:pStyle w:val="28"/>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（6）机构全称：杭州联合农村商业银行股份有限公司，注册地址为杭州市建国中路99号，联系电话为0571-87923220；</w:t>
      </w:r>
    </w:p>
    <w:p>
      <w:pPr>
        <w:pStyle w:val="28"/>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（7）机构全称：湖北银行股份有限公司，注册地址为武汉市武昌区水果湖街中北路86号汉街总部国际8栋，联系电话为96599；</w:t>
      </w:r>
    </w:p>
    <w:p>
      <w:pPr>
        <w:pStyle w:val="28"/>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（8）机构全称：湖州吴兴农村商业银行股份有限公司，注册地址为浙江省湖州市东街55号，联系电话为0572-2065905；</w:t>
      </w:r>
    </w:p>
    <w:p>
      <w:pPr>
        <w:pStyle w:val="28"/>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（9）机构全称：吉林银行股份有限公司，注册地址为吉林省长春市南关区人民大街10666号，联系电话为0431-84992976；</w:t>
      </w:r>
    </w:p>
    <w:p>
      <w:pPr>
        <w:pStyle w:val="28"/>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（10）机构全称：嘉兴银行股份有限公司，注册地址为浙江省嘉兴市昌盛南路1001号，联系电话为0573-82062680；</w:t>
      </w:r>
    </w:p>
    <w:p>
      <w:pPr>
        <w:pStyle w:val="28"/>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（11）机构全称：江门农村商业银行股份有限公司，注册地址为江门市新会区会城启超大道68号，联系电话为0750-6601937；</w:t>
      </w:r>
    </w:p>
    <w:p>
      <w:pPr>
        <w:pStyle w:val="28"/>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（12）机构全称：江苏宝应农村商业银行股份有限公司，注册地址为江苏省宝应县文津路1号，联系电话为0514-88237395；</w:t>
      </w:r>
    </w:p>
    <w:p>
      <w:pPr>
        <w:pStyle w:val="28"/>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（13）机构全称：江苏滨海农村商业银行股份有限公司，注册地址为滨海县城迎宾中路1号，联系电话为0515-89106666；</w:t>
      </w:r>
    </w:p>
    <w:p>
      <w:pPr>
        <w:pStyle w:val="28"/>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（14）机构全称：江苏常熟农村商业银行股份有限公司，注册地址为江苏省常熟市新世纪大道58号，联系电话为0512-51601128；</w:t>
      </w:r>
    </w:p>
    <w:p>
      <w:pPr>
        <w:pStyle w:val="28"/>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（15）机构全称：江苏大丰农村商业银行股份有限公司，注册地址为江苏省盐城市大丰区常新中路9号，联系电话为0515-83929115；</w:t>
      </w:r>
    </w:p>
    <w:p>
      <w:pPr>
        <w:pStyle w:val="28"/>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（16）机构全称：江苏东海农村商业银行股份有限公司，注册地址为连云港市东海县牛山镇海陵东路8号，联系电话为0518-87288341；</w:t>
      </w:r>
    </w:p>
    <w:p>
      <w:pPr>
        <w:pStyle w:val="28"/>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（17）机构全称：江苏东台农村商业银行股份有限公司，注册地址为东台市东城大道10号，联系电话为0515-85230810；</w:t>
      </w:r>
    </w:p>
    <w:p>
      <w:pPr>
        <w:pStyle w:val="28"/>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（18）机构全称：江苏丰县农村商业银行股份有限公司，注册地址为江苏省丰县人民中路9号，联系电话为0516-89234728；</w:t>
      </w:r>
    </w:p>
    <w:p>
      <w:pPr>
        <w:pStyle w:val="28"/>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（19）机构全称：江苏阜宁农村商业银行股份有限公司，注册地址为江苏省阜宁县城南新区上海路459号，联系电话为0515-87210967；</w:t>
      </w:r>
    </w:p>
    <w:p>
      <w:pPr>
        <w:pStyle w:val="28"/>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（20）机构全称：江苏赣榆农村商业银行股份有限公司，注册地址为连云港市赣榆区黄海东路304号，联系电话为0518-6211053；</w:t>
      </w:r>
    </w:p>
    <w:p>
      <w:pPr>
        <w:pStyle w:val="28"/>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（21）机构全称：江苏高淳农村商业银行股份有限公司，注册地址为南京市高淳区淳溪镇宝塔路123号，联系电话为025-57315973；</w:t>
      </w:r>
    </w:p>
    <w:p>
      <w:pPr>
        <w:pStyle w:val="28"/>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（22）机构全称：江苏高邮农村商业银行股份有限公司，注册地址为江苏省高邮市文游中路28号，联系电话为0514-84602192；</w:t>
      </w:r>
    </w:p>
    <w:p>
      <w:pPr>
        <w:pStyle w:val="28"/>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（23）机构全称：江苏灌南农村商业银行股份有限公司，注册地址为江苏省连云港市灌南县人民路29号，联系电话为0518-83212998；</w:t>
      </w:r>
    </w:p>
    <w:p>
      <w:pPr>
        <w:pStyle w:val="28"/>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（24）机构全称：江苏灌云农村商业银行股份有限公司，注册地址为江苏省灌云县伊山镇水利路东侧（人民路与水利路交汇处），联系电话为0518-88115807；</w:t>
      </w:r>
    </w:p>
    <w:p>
      <w:pPr>
        <w:pStyle w:val="28"/>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（25）机构全称：江苏海安农村商业银行股份有限公司，注册地址为江苏省海安市海安镇长江中路88号，联系电话为0513-88926206；</w:t>
      </w:r>
    </w:p>
    <w:p>
      <w:pPr>
        <w:pStyle w:val="28"/>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（26）机构全称：江苏海门农村商业银行股份有限公司，注册地址为江苏省南通市海门区解放中路137号，联系电话为0513-68050800；</w:t>
      </w:r>
    </w:p>
    <w:p>
      <w:pPr>
        <w:pStyle w:val="28"/>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（27）机构全称：江苏建湖农村商业银行股份有限公司，注册地址为江苏省建湖县湖中南路958号，联系电话为13815553398,0515-80629680；</w:t>
      </w:r>
    </w:p>
    <w:p>
      <w:pPr>
        <w:pStyle w:val="28"/>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（28）机构全称：江苏姜堰农村商业银行股份有限公司，注册地址为泰州市姜堰区姜堰大道128号，联系电话为0523-88262560；</w:t>
      </w:r>
    </w:p>
    <w:p>
      <w:pPr>
        <w:pStyle w:val="28"/>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（29）机构全称：江苏江都农村商业银行股份有限公司，注册地址为扬州市江都区龙城路21号，联系电话为0514-86552388,0514-86995122；</w:t>
      </w:r>
    </w:p>
    <w:p>
      <w:pPr>
        <w:pStyle w:val="28"/>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（30）机构全称：江苏江南农村商业银行股份有限公司，注册地址为江苏省常州市武进区延政中路9号，联系电话为0519-89995161；</w:t>
      </w:r>
    </w:p>
    <w:p>
      <w:pPr>
        <w:pStyle w:val="28"/>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（31）机构全称：江苏金湖农村商业银行股份有限公司，注册地址为江苏省金湖县健康西路1号，联系电话为0517-86859088；</w:t>
      </w:r>
    </w:p>
    <w:p>
      <w:pPr>
        <w:pStyle w:val="28"/>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（32）机构全称：江苏靖江农村商业银行股份有限公司，注册地址为江苏省靖江市南环路66号，联系电话为0523-85121020；</w:t>
      </w:r>
    </w:p>
    <w:p>
      <w:pPr>
        <w:pStyle w:val="28"/>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（33）机构全称：江苏句容农村商业银行股份有限公司，注册地址为江苏省句容市福地东路66号，联系电话为0511-87263211,0511-87275955；</w:t>
      </w:r>
    </w:p>
    <w:p>
      <w:pPr>
        <w:pStyle w:val="28"/>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（34）机构全称：江苏民丰农村商业银行股份有限公司，注册地址为江苏省宿迁市宿城区高宝湖路1号，联系电话为0527-84467910；</w:t>
      </w:r>
    </w:p>
    <w:p>
      <w:pPr>
        <w:pStyle w:val="28"/>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（35）机构全称：江苏沛县农村商业银行股份有限公司，注册地址为江苏省沛县汤沐路中段11号，联系电话为0516-89631502；</w:t>
      </w:r>
    </w:p>
    <w:p>
      <w:pPr>
        <w:pStyle w:val="28"/>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（36）机构全称：江苏启东农村商业银行股份有限公司，注册地址为江苏省启东市汇龙镇人民中路599号，联系电话为0513-83309270；</w:t>
      </w:r>
    </w:p>
    <w:p>
      <w:pPr>
        <w:pStyle w:val="28"/>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（37）机构全称：江苏如东农村商业银行股份有限公司，注册地址为江苏省如东县掘港镇钟山路66号，联系电话为0513-84118602；</w:t>
      </w:r>
    </w:p>
    <w:p>
      <w:pPr>
        <w:pStyle w:val="28"/>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（38）机构全称：江苏如皋农村商业银行股份有限公司，注册地址为江苏省如皋市如城街道海阳南路999号，联系电话为0513-87616082；</w:t>
      </w:r>
    </w:p>
    <w:p>
      <w:pPr>
        <w:pStyle w:val="28"/>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（39）机构全称：江苏射阳农村商业银行股份有限公司，注册地址为射阳县合德镇解放路385号，联系电话为0515-82389076,0515-82334030；</w:t>
      </w:r>
    </w:p>
    <w:p>
      <w:pPr>
        <w:pStyle w:val="28"/>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（40）机构全称：江苏苏州农村商业银行股份有限公司，注册地址为江苏省苏州市吴江区中山南路1777号，联系电话为0512-63969966,0512-63969870；</w:t>
      </w:r>
    </w:p>
    <w:p>
      <w:pPr>
        <w:pStyle w:val="28"/>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（41）机构全称：江苏泰兴农村商业银行股份有限公司，注册地址为泰兴市国庆中路8号，联系电话为0523-87639340；</w:t>
      </w:r>
    </w:p>
    <w:p>
      <w:pPr>
        <w:pStyle w:val="28"/>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（42）机构全称：江苏太仓农村商业银行股份有限公司，注册地址为太仓市娄东街道上海东路198号，联系电话为0512-53282880；</w:t>
      </w:r>
    </w:p>
    <w:p>
      <w:pPr>
        <w:pStyle w:val="28"/>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（43）机构全称：江苏响水农村商业银行股份有限公司，注册地址为江苏省响水县双园东路北侧，联系电话为0515-86889190；</w:t>
      </w:r>
    </w:p>
    <w:p>
      <w:pPr>
        <w:pStyle w:val="28"/>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（44）机构全称：江苏新沂农村商业银行股份有限公司，注册地址为新沂市钟吾路163号，联系电话为0516-88927411；</w:t>
      </w:r>
    </w:p>
    <w:p>
      <w:pPr>
        <w:pStyle w:val="28"/>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（45）机构全称：江苏盐城农村商业银行股份有限公司，注册地址为盐城市盐南高新区新都西路8号，联系电话为0515-8387406,0515-88350328；</w:t>
      </w:r>
    </w:p>
    <w:p>
      <w:pPr>
        <w:pStyle w:val="28"/>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（46）机构全称：江苏扬中农村商业银行股份有限公司，注册地址为扬中市扬子西路79号，联系电话为0511-88212395；</w:t>
      </w:r>
    </w:p>
    <w:p>
      <w:pPr>
        <w:pStyle w:val="28"/>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（47）机构全称：江苏扬州农村商业银行股份有限公司，注册地址为扬州市同泰路107号，联系电话为0514-82930926；</w:t>
      </w:r>
    </w:p>
    <w:p>
      <w:pPr>
        <w:pStyle w:val="28"/>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（48）机构全称：江苏仪征农村商业银行股份有限公司，注册地址为江苏省仪征市真州东路101号，联系电话为0514-83442173；</w:t>
      </w:r>
    </w:p>
    <w:p>
      <w:pPr>
        <w:pStyle w:val="28"/>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（49）机构全称：江苏宜兴农村商业银行股份有限公司，注册地址为江苏省宜兴市宜城街道解放东路579号，联系电话为0510-87330091；</w:t>
      </w:r>
    </w:p>
    <w:p>
      <w:pPr>
        <w:pStyle w:val="28"/>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（50）机构全称：江苏银行股份有限公司，注册地址为南京市中华路26号，联系电话为025-52890919；</w:t>
      </w:r>
    </w:p>
    <w:p>
      <w:pPr>
        <w:pStyle w:val="28"/>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（51）机构全称：江苏张家港农村商业银行股份有限公司，注册地址为张家港市杨舍镇人民中路66号，联系电话为0512-56961859,0512-56962839；</w:t>
      </w:r>
    </w:p>
    <w:p>
      <w:pPr>
        <w:pStyle w:val="28"/>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（52）机构全称：江苏镇江农村商业银行股份有限公司，注册地址为江苏省镇江市永安路2-1，联系电话为0511-84439088,0511-85013718；</w:t>
      </w:r>
    </w:p>
    <w:p>
      <w:pPr>
        <w:pStyle w:val="28"/>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（53）机构全称：江苏紫金农村商业银行股份有限公司，注册地址为南京市建邺区江东中路381号，联系电话为025-88866792；</w:t>
      </w:r>
    </w:p>
    <w:p>
      <w:pPr>
        <w:pStyle w:val="28"/>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（54）机构全称：江苏邳州农村商业银行股份有限公司，注册地址为邳州市建设中路16号，联系电话为0516-86234450；</w:t>
      </w:r>
    </w:p>
    <w:p>
      <w:pPr>
        <w:pStyle w:val="28"/>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（55）机构全称：江苏沭阳农村商业银行股份有限公司，注册地址为江苏省沭阳县苏州东路与台州南路交汇处，联系电话为0527-83663028；</w:t>
      </w:r>
    </w:p>
    <w:p>
      <w:pPr>
        <w:pStyle w:val="28"/>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（56）机构全称：江苏泗洪农村商业银行股份有限公司，注册地址为江苏省泗洪县长江路17号，联系电话为0527-86228917；</w:t>
      </w:r>
    </w:p>
    <w:p>
      <w:pPr>
        <w:pStyle w:val="28"/>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（57）机构全称：江苏泗阳农村商业银行股份有限公司，注册地址为江苏省泗洪县长江路17号，联系电话为0527-85275008；</w:t>
      </w:r>
    </w:p>
    <w:p>
      <w:pPr>
        <w:pStyle w:val="28"/>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（58）机构全称：江苏溧水农村商业银行股份有限公司，注册地址为南京市溧水县永阳镇中山路22号，联系电话为025-57201229；</w:t>
      </w:r>
    </w:p>
    <w:p>
      <w:pPr>
        <w:pStyle w:val="28"/>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（59）机构全称：江苏睢宁农村商业银行股份有限公司，注册地址为江苏省睢宁县元府东街99号，联系电话为0516-88331669；</w:t>
      </w:r>
    </w:p>
    <w:p>
      <w:pPr>
        <w:pStyle w:val="28"/>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（60）机构全称：晋商银行股份有限公司，注册地址为山西省太原市小店区长风街59号，联系电话为053195105588；</w:t>
      </w:r>
    </w:p>
    <w:p>
      <w:pPr>
        <w:pStyle w:val="28"/>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（61）机构全称：九江银行股份有限公司，注册地址为江西省九江市濂溪区长虹大道619号，联系电话为0791-7783032；</w:t>
      </w:r>
    </w:p>
    <w:p>
      <w:pPr>
        <w:pStyle w:val="28"/>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（62）机构全称：莱商银行股份有限公司，注册地址为山东省济南市莱芜高新区龙潭东大街137号，联系电话为0531-78861235；</w:t>
      </w:r>
    </w:p>
    <w:p>
      <w:pPr>
        <w:pStyle w:val="28"/>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（63）机构全称：连云港东方农村商业银行股份有限公司，注册地址为江苏省连云港市海州区郁洲南路10号，联系电话为0518-85820598,0518-85820527；</w:t>
      </w:r>
    </w:p>
    <w:p>
      <w:pPr>
        <w:pStyle w:val="28"/>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（64）机构全称：宁波东海银行股份有限公司，注册地址为浙江省宁波市鄞州区和济街181号1幢4、5、6、7层，宁波市鄞州区民安东路292号，宁波市鄞州区鼎泰路355号，联系电话为0574-81872233；</w:t>
      </w:r>
    </w:p>
    <w:p>
      <w:pPr>
        <w:pStyle w:val="28"/>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（65）机构全称：宁波通商银行股份有限公司，注册地址为浙江省宁波市鄞州区民安东路337号，联系电话为0574-83096666；</w:t>
      </w:r>
    </w:p>
    <w:p>
      <w:pPr>
        <w:pStyle w:val="28"/>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（66）机构全称：宁夏银行股份有限公司，注册地址为银川市金凤区北京中路157号，联系电话为0951-5058879,0951-6036102,0951-5165056；</w:t>
      </w:r>
    </w:p>
    <w:p>
      <w:pPr>
        <w:pStyle w:val="28"/>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（67）机构全称：齐鲁银行股份有限公司，注册地址为山东省济南市历下区经十路10817号，联系电话为400-609-6588；</w:t>
      </w:r>
    </w:p>
    <w:p>
      <w:pPr>
        <w:pStyle w:val="28"/>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（68）机构全称：秦皇岛银行股份有限公司，注册地址为河北省秦皇岛市海港区河北大街西段560号，联系电话为0335-5911197；</w:t>
      </w:r>
    </w:p>
    <w:p>
      <w:pPr>
        <w:pStyle w:val="28"/>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（69）机构全称：青岛银行股份有限公司，注册地址为山东省青岛市崂山区秦岭路6号3号楼，联系电话为0532-85709728；</w:t>
      </w:r>
    </w:p>
    <w:p>
      <w:pPr>
        <w:pStyle w:val="28"/>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（70）机构全称：山西银行股份有限公司，注册地址为山西转型综合改革示范区学府产业园高新街15号，联系电话为0351-96588；</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（71）机构全称：苏银理财有限责任公司，注册地址为</w:t>
      </w:r>
      <w:r>
        <w:rPr>
          <w:rFonts w:hint="default" w:ascii="楷体" w:hAnsi="楷体" w:eastAsia="楷体" w:cs="浠垮畫"/>
          <w:kern w:val="0"/>
          <w:sz w:val="21"/>
          <w:szCs w:val="21"/>
          <w:lang w:val="en-US" w:eastAsia="zh-CN"/>
        </w:rPr>
        <w:t>南京市建邺区江山大街70号国际博览中心三期B幢11-13层</w:t>
      </w:r>
      <w:r>
        <w:rPr>
          <w:rFonts w:hint="eastAsia" w:ascii="楷体" w:hAnsi="楷体" w:eastAsia="楷体" w:cs="楷体"/>
          <w:b w:val="0"/>
          <w:bCs w:val="0"/>
          <w:sz w:val="21"/>
          <w:szCs w:val="21"/>
          <w:highlight w:val="none"/>
          <w:u w:val="none"/>
          <w:lang w:val="en-US" w:eastAsia="zh-CN"/>
        </w:rPr>
        <w:t>，联系电话为95319-8-2；</w:t>
      </w:r>
    </w:p>
    <w:p>
      <w:pPr>
        <w:pStyle w:val="28"/>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（72）机构全称：威海银行股份有限公司，注册地址为威海市宝泉路9号，联系电话为0531-68978309；</w:t>
      </w:r>
    </w:p>
    <w:p>
      <w:pPr>
        <w:pStyle w:val="28"/>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（73）机构全称：武汉农村商业银行股份有限公司，注册地址为湖北省武汉市江岸区建设大道618号，联系电话为95367；</w:t>
      </w:r>
    </w:p>
    <w:p>
      <w:pPr>
        <w:pStyle w:val="28"/>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（74）机构全称：兴业银行股份有限公司，注册地址为福州市湖东路154号，联系电话为0591-87824863；</w:t>
      </w:r>
    </w:p>
    <w:p>
      <w:pPr>
        <w:pStyle w:val="28"/>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（75）机构全称：徐州农村商业银行股份有限公司，注册地址为江苏省徐州市铜山区北京南路26号，联系电话为96008；</w:t>
      </w:r>
    </w:p>
    <w:p>
      <w:pPr>
        <w:pStyle w:val="28"/>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（76）机构全称：浙江淳安农村商业银行股份有限公司，注册地址为浙江省杭州市淳安县千岛湖镇环湖北路369号，联系电话为0571-64833000；</w:t>
      </w:r>
    </w:p>
    <w:p>
      <w:pPr>
        <w:pStyle w:val="28"/>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（77）机构全称：浙江德清农村商业银行股份有限公司，注册地址为浙江省德清县武康街道沈长圩街50号，联系电话为0572-8018202；</w:t>
      </w:r>
    </w:p>
    <w:p>
      <w:pPr>
        <w:pStyle w:val="28"/>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（78）机构全称：浙江海宁农村商业银行股份有限公司，注册地址为浙江省嘉兴市海宁市海洲街道钱江西路278号，联系电话为0573-87032144；</w:t>
      </w:r>
    </w:p>
    <w:p>
      <w:pPr>
        <w:pStyle w:val="28"/>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（79）机构全称：浙江海盐农村商业银行股份有限公司，注册地址为浙江省海盐县武原街道枣园西路176号，联系电话为0573-86166325；</w:t>
      </w:r>
    </w:p>
    <w:p>
      <w:pPr>
        <w:pStyle w:val="28"/>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（80）机构全称：浙江杭州余杭农村商业银行股份有限公司，注册地址为浙江省杭州市临平区南苑街道大街72号，联系电话为0571-86167005；</w:t>
      </w:r>
    </w:p>
    <w:p>
      <w:pPr>
        <w:pStyle w:val="28"/>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（81）机构全称：浙江禾城农村商业银行股份有限公司，注册地址为浙江省嘉兴市经济技术开发区文昌路1229号，联系电话为0573-82715521；</w:t>
      </w:r>
    </w:p>
    <w:p>
      <w:pPr>
        <w:pStyle w:val="28"/>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（82）机构全称：浙江嘉善农村商业银行股份有限公司，注册地址为浙江省嘉兴市嘉善县罗星街道车站南路999号，联系电话为0573-84226627；</w:t>
      </w:r>
    </w:p>
    <w:p>
      <w:pPr>
        <w:pStyle w:val="28"/>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（83）机构全称：浙江江山农村商业银行股份有限公司，注册地址为浙江省江山市区江滨路188号，联系电话为0570-4062110；</w:t>
      </w:r>
    </w:p>
    <w:p>
      <w:pPr>
        <w:pStyle w:val="28"/>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（84）机构全称：浙江兰溪农村商业银行股份有限公司，注册地址为浙江省兰溪市兰江街道丹溪大道18号，联系电话为0579-88391133；</w:t>
      </w:r>
    </w:p>
    <w:p>
      <w:pPr>
        <w:pStyle w:val="28"/>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（85）机构全称：浙江乐清农村商业银行股份有限公司，注册地址为浙江省乐清市城南街道伯乐西路99号，联系电话为0577-61566028,0577-62553892,0577-61527888；</w:t>
      </w:r>
    </w:p>
    <w:p>
      <w:pPr>
        <w:pStyle w:val="28"/>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（86）机构全称：浙江龙游农村商业银行股份有限公司，注册地址为浙江省衢州市龙游县龙洲街道荣昌大道683、685、687号，联系电话为0570-7010706；</w:t>
      </w:r>
    </w:p>
    <w:p>
      <w:pPr>
        <w:pStyle w:val="28"/>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（87）机构全称：浙江平湖农村商业银行股份有限公司，注册地址为浙江省平湖市当湖街道胜利路518号，联系电话为0573-85135897；</w:t>
      </w:r>
    </w:p>
    <w:p>
      <w:pPr>
        <w:pStyle w:val="28"/>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（88）机构全称：浙江浦江农村商业银行股份有限公司，注册地址为浙江省浦江县人民东路90号，联系电话为0579-84116117；</w:t>
      </w:r>
    </w:p>
    <w:p>
      <w:pPr>
        <w:pStyle w:val="28"/>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（89）机构全称：浙江青田农村商业银行股份有限公司，注册地址为浙江省青田县鹤城街道鹤城东路180号，联系电话为0578-6752052；</w:t>
      </w:r>
    </w:p>
    <w:p>
      <w:pPr>
        <w:pStyle w:val="28"/>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（90）机构全称：浙江瑞安农村商业银行股份有限公司，注册地址为浙江省瑞安市安阳街道万松东路148号，联系电话为0577-65813089；</w:t>
      </w:r>
    </w:p>
    <w:p>
      <w:pPr>
        <w:pStyle w:val="28"/>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（91）机构全称：浙江上虞农村商业银行股份有限公司，注册地址为浙江省绍兴市上虞区德盛路55号，联系电话为0575-82110785；</w:t>
      </w:r>
    </w:p>
    <w:p>
      <w:pPr>
        <w:pStyle w:val="28"/>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（92）机构全称：浙江绍兴恒信农村商业银行股份有限公司，注册地址为浙江省绍兴市中兴中路159号，联系电话为0575-85134511；</w:t>
      </w:r>
    </w:p>
    <w:p>
      <w:pPr>
        <w:pStyle w:val="28"/>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（93）机构全称：浙江绍兴瑞丰农村商业银行股份有限公司，注册地址为浙江省绍兴市柯桥区柯桥笛扬路1363号，联系电话为0575-81105353；</w:t>
      </w:r>
    </w:p>
    <w:p>
      <w:pPr>
        <w:pStyle w:val="28"/>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（94）机构全称：浙江松阳农村商业银行股份有限公司，注册地址为浙江省丽水市松阳县水南街道要津南路71号，联系电话为0578-8063165；</w:t>
      </w:r>
    </w:p>
    <w:p>
      <w:pPr>
        <w:pStyle w:val="28"/>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（95）机构全称：浙江台州黄岩农村商业银行股份有限公司，注册地址为浙江省台州市黄岩区洞天路88号，联系电话为0576-89199001；</w:t>
      </w:r>
    </w:p>
    <w:p>
      <w:pPr>
        <w:pStyle w:val="28"/>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（96）机构全称：浙江桐庐农村商业银行股份有限公司，注册地址为浙江省杭州市桐庐县城迎春南路278号，联系电话为0571-64211632；</w:t>
      </w:r>
    </w:p>
    <w:p>
      <w:pPr>
        <w:pStyle w:val="28"/>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（97）机构全称：浙江桐乡农村商业银行股份有限公司，注册地址为浙江省嘉兴市桐乡市梧桐街道校场东路59号，联系电话为0573-88022305；</w:t>
      </w:r>
    </w:p>
    <w:p>
      <w:pPr>
        <w:pStyle w:val="28"/>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（98）机构全称：浙江温岭农村商业银行股份有限公司，注册地址为浙江省温岭市城东街道下保路100号，联系电话为0576-86207927；</w:t>
      </w:r>
    </w:p>
    <w:p>
      <w:pPr>
        <w:pStyle w:val="28"/>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（99）机构全称：浙江温州龙湾农村商业银行股份有限公司，注册地址为浙江省温州市龙湾区永中街道永宁西路555号，联系电话为0577-86922601,0577-86932139；</w:t>
      </w:r>
    </w:p>
    <w:p>
      <w:pPr>
        <w:pStyle w:val="28"/>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（100）机构全称：浙江温州鹿城农村商业银行股份有限公司，注册地址为浙江省温州市会展路1500号富银大厦，联系电话为0577-88095618；</w:t>
      </w:r>
    </w:p>
    <w:p>
      <w:pPr>
        <w:pStyle w:val="28"/>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（101）机构全称：浙江温州瓯海农村商业银行股份有限公司，注册地址为浙江省温州市瓯海区瓯海大道989号，联系电话为0577-88378510；</w:t>
      </w:r>
    </w:p>
    <w:p>
      <w:pPr>
        <w:pStyle w:val="28"/>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（102）机构全称：浙江文成农村商业银行股份有限公司，注册地址为浙江省温州市文成县大峃镇体育场路509-520号，联系电话为0577-67866321；</w:t>
      </w:r>
    </w:p>
    <w:p>
      <w:pPr>
        <w:pStyle w:val="28"/>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（103）机构全称：浙江武义农村商业银行股份有限公司，注册地址为浙江省武义县城武阳中路37号，联系电话为0579-87663486；</w:t>
      </w:r>
    </w:p>
    <w:p>
      <w:pPr>
        <w:pStyle w:val="28"/>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（104）机构全称：浙江萧山农村商业银行股份有限公司，注册地址为浙江省杭州市萧山区盈丰街道鸿宁路2288号，联系电话为0571-83815691；</w:t>
      </w:r>
    </w:p>
    <w:p>
      <w:pPr>
        <w:pStyle w:val="28"/>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（105）机构全称：浙江新昌农村商业银行股份有限公司，注册地址为浙江省新昌县七星街道七星路18号，联系电话为0575-86266010；</w:t>
      </w:r>
    </w:p>
    <w:p>
      <w:pPr>
        <w:pStyle w:val="28"/>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（106）机构全称：浙江永嘉农村商业银行股份有限公司，注册地址为浙江省温州市永嘉县瓯北街道阳光大道3918号，联系电话为0577-67254108；</w:t>
      </w:r>
    </w:p>
    <w:p>
      <w:pPr>
        <w:pStyle w:val="28"/>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（107）机构全称：浙江永康农村商业银行股份有限公司，注册地址为浙江省金华市永康市九铃东路3259号，联系电话为0579-87169095；</w:t>
      </w:r>
    </w:p>
    <w:p>
      <w:pPr>
        <w:pStyle w:val="28"/>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（108）机构全称：浙江舟山定海海洋农村商业银行股份有限公司，注册地址为浙江省舟山市定海区环城东路81号，联系电话为0580-2060007；</w:t>
      </w:r>
    </w:p>
    <w:p>
      <w:pPr>
        <w:pStyle w:val="28"/>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（109）机构全称：浙江舟山普陀农村商业银行股份有限公司，注册地址为浙江省舟山市普陀区东港街道麒麟街225号，联系电话为0580-3803350；</w:t>
      </w:r>
    </w:p>
    <w:p>
      <w:pPr>
        <w:pStyle w:val="28"/>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（110）机构全称：浙江岱山农村商业银行股份有限公司，注册地址为浙江省舟山市岱山县高亭镇衢山大道1009号，联系电话为0580-4261787；</w:t>
      </w:r>
    </w:p>
    <w:p>
      <w:pPr>
        <w:pStyle w:val="28"/>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（111）机构全称：浙江衢州柯城农村商业银行股份有限公司，注册地址为浙江省衢州市柯城区上街92号，联系电话为0570-3027556；</w:t>
      </w:r>
    </w:p>
    <w:p>
      <w:pPr>
        <w:pStyle w:val="28"/>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（112）机构全称：郑州银行股份有限公司，注册地址为河南省郑州市郑东新区商务外环路22号，联系电话为0371-67009199；</w:t>
      </w:r>
    </w:p>
    <w:p>
      <w:pPr>
        <w:pStyle w:val="28"/>
        <w:ind w:left="0" w:firstLine="42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（113）机构全称：重庆农村商业银行股份有限公司，注册地址为重庆市江北区金沙门路36号，联系电话为023-61111637。</w:t>
      </w:r>
    </w:p>
    <w:p>
      <w:pPr>
        <w:pStyle w:val="28"/>
        <w:ind w:left="0" w:firstLine="42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（114）机构全称：广东华润银行股份有限公司，注册地址为广东省珠海市高新区北城东三路88号1栋，联系电话为13826526132。</w:t>
      </w:r>
    </w:p>
    <w:p>
      <w:pPr>
        <w:pStyle w:val="28"/>
        <w:ind w:left="0" w:firstLine="42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（115）机构全称：上海农村商业银行股份有限公司，注册地址为上海市黄浦区中山东二路70号，联系电话为021-962999；</w:t>
      </w:r>
    </w:p>
    <w:p>
      <w:pPr>
        <w:pStyle w:val="28"/>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（116）机构全称：徽商银行股份有限公司，注册地址为安徽省合肥市云谷路1699号徽银大厦，联系电话为0551-62667580。</w:t>
      </w:r>
    </w:p>
    <w:p>
      <w:pPr>
        <w:keepNext w:val="0"/>
        <w:keepLines w:val="0"/>
        <w:pageBreakBefore w:val="0"/>
        <w:numPr>
          <w:ilvl w:val="0"/>
          <w:numId w:val="0"/>
        </w:numPr>
        <w:bidi w:val="0"/>
        <w:spacing w:line="240" w:lineRule="auto"/>
        <w:ind w:firstLine="420"/>
        <w:rPr>
          <w:rFonts w:hint="default" w:ascii="楷体" w:hAnsi="楷体" w:eastAsia="楷体" w:cs="楷体"/>
          <w:b w:val="0"/>
          <w:bCs w:val="0"/>
          <w:color w:val="0000FF"/>
          <w:sz w:val="21"/>
          <w:szCs w:val="21"/>
          <w:highlight w:val="none"/>
          <w:u w:val="none"/>
          <w:lang w:val="en-US" w:eastAsia="zh-CN" w:bidi="ar-SA"/>
        </w:rPr>
      </w:pPr>
      <w:r>
        <w:rPr>
          <w:rFonts w:hint="eastAsia" w:ascii="楷体" w:hAnsi="楷体" w:eastAsia="楷体" w:cs="楷体"/>
          <w:color w:val="auto"/>
          <w:sz w:val="21"/>
          <w:szCs w:val="21"/>
          <w:highlight w:val="none"/>
          <w:lang w:val="en-US" w:eastAsia="zh-CN"/>
        </w:rPr>
        <w:t>（三）关联关系情况</w:t>
      </w:r>
    </w:p>
    <w:p>
      <w:pPr>
        <w:pStyle w:val="28"/>
        <w:keepNext w:val="0"/>
        <w:keepLines w:val="0"/>
        <w:pageBreakBefore w:val="0"/>
        <w:widowControl w:val="0"/>
        <w:numPr>
          <w:ilvl w:val="0"/>
          <w:numId w:val="0"/>
        </w:numPr>
        <w:bidi w:val="0"/>
        <w:spacing w:line="240" w:lineRule="auto"/>
        <w:ind w:firstLine="422"/>
        <w:rPr>
          <w:rFonts w:hint="default" w:ascii="楷体" w:hAnsi="楷体" w:eastAsia="楷体" w:cs="楷体"/>
          <w:b w:val="0"/>
          <w:bCs w:val="0"/>
          <w:color w:val="0000FF"/>
          <w:sz w:val="21"/>
          <w:szCs w:val="21"/>
          <w:highlight w:val="none"/>
          <w:u w:val="none"/>
          <w:lang w:val="en-US" w:eastAsia="zh-CN" w:bidi="ar-SA"/>
        </w:rPr>
      </w:pPr>
      <w:r>
        <w:rPr>
          <w:rFonts w:hint="eastAsia" w:ascii="楷体" w:hAnsi="楷体" w:eastAsia="楷体" w:cs="楷体"/>
          <w:b/>
          <w:bCs/>
          <w:color w:val="auto"/>
          <w:sz w:val="21"/>
          <w:szCs w:val="21"/>
          <w:highlight w:val="none"/>
          <w:u w:val="single"/>
          <w:lang w:val="en-US" w:eastAsia="zh-CN"/>
        </w:rPr>
        <w:t>产品管理人在此特别披露：销售机构江苏苏州农村商业银行股份有限公司、江苏仪征农村商业银行股份有限公司、江苏银行股份有限公司、苏银理财有限责任公司为产品管理人的关联方，产品管理人选择其担任销售机构已履行现行法律法规和监管规定所规定必须履行的程序。</w:t>
      </w:r>
    </w:p>
    <w:p>
      <w:pPr>
        <w:keepNext w:val="0"/>
        <w:keepLines w:val="0"/>
        <w:pageBreakBefore w:val="0"/>
        <w:numPr>
          <w:ilvl w:val="0"/>
          <w:numId w:val="2"/>
        </w:numPr>
        <w:tabs>
          <w:tab w:val="left" w:pos="1134"/>
        </w:tabs>
        <w:bidi w:val="0"/>
        <w:spacing w:line="240" w:lineRule="auto"/>
        <w:ind w:left="0" w:firstLine="422"/>
        <w:outlineLvl w:val="1"/>
        <w:rPr>
          <w:rFonts w:hint="eastAsia" w:ascii="楷体" w:hAnsi="楷体" w:eastAsia="楷体" w:cs="楷体"/>
          <w:b/>
          <w:color w:val="auto"/>
          <w:sz w:val="21"/>
          <w:szCs w:val="21"/>
          <w:highlight w:val="none"/>
        </w:rPr>
      </w:pPr>
      <w:r>
        <w:rPr>
          <w:rFonts w:hint="eastAsia" w:ascii="楷体" w:hAnsi="楷体" w:eastAsia="楷体" w:cs="楷体"/>
          <w:b/>
          <w:color w:val="auto"/>
          <w:sz w:val="21"/>
          <w:szCs w:val="21"/>
          <w:highlight w:val="none"/>
          <w:lang w:val="en-US" w:eastAsia="zh-CN"/>
        </w:rPr>
        <w:t>名词释义</w:t>
      </w:r>
    </w:p>
    <w:p>
      <w:pPr>
        <w:keepNext w:val="0"/>
        <w:keepLines w:val="0"/>
        <w:pageBreakBefore w:val="0"/>
        <w:bidi w:val="0"/>
        <w:spacing w:line="240" w:lineRule="auto"/>
        <w:ind w:firstLine="420"/>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在本</w:t>
      </w:r>
      <w:r>
        <w:rPr>
          <w:rFonts w:hint="eastAsia" w:ascii="楷体" w:hAnsi="楷体" w:eastAsia="楷体" w:cs="楷体"/>
          <w:color w:val="auto"/>
          <w:sz w:val="21"/>
          <w:szCs w:val="21"/>
          <w:highlight w:val="none"/>
          <w:lang w:val="en-US" w:eastAsia="zh-CN"/>
        </w:rPr>
        <w:t>理财</w:t>
      </w:r>
      <w:r>
        <w:rPr>
          <w:rFonts w:hint="eastAsia" w:ascii="楷体" w:hAnsi="楷体" w:eastAsia="楷体" w:cs="楷体"/>
          <w:color w:val="auto"/>
          <w:sz w:val="21"/>
          <w:szCs w:val="21"/>
          <w:highlight w:val="none"/>
        </w:rPr>
        <w:t>产品说明书中，除非上下文另有明确约定，下列用词将具有如下含义：</w:t>
      </w:r>
    </w:p>
    <w:p>
      <w:pPr>
        <w:keepNext w:val="0"/>
        <w:keepLines w:val="0"/>
        <w:pageBreakBefore w:val="0"/>
        <w:numPr>
          <w:ilvl w:val="0"/>
          <w:numId w:val="0"/>
        </w:numPr>
        <w:bidi w:val="0"/>
        <w:spacing w:line="240" w:lineRule="auto"/>
        <w:ind w:firstLine="420"/>
        <w:rPr>
          <w:rFonts w:hint="eastAsia" w:ascii="楷体" w:hAnsi="楷体" w:eastAsia="楷体" w:cs="楷体"/>
          <w:color w:val="auto"/>
          <w:sz w:val="21"/>
          <w:szCs w:val="21"/>
          <w:highlight w:val="none"/>
          <w:lang w:val="en-US" w:eastAsia="zh-CN"/>
        </w:rPr>
      </w:pPr>
      <w:r>
        <w:rPr>
          <w:rFonts w:hint="eastAsia" w:ascii="楷体" w:hAnsi="楷体" w:eastAsia="楷体" w:cs="楷体"/>
          <w:color w:val="auto"/>
          <w:sz w:val="21"/>
          <w:szCs w:val="21"/>
          <w:highlight w:val="none"/>
          <w:lang w:val="en-US" w:eastAsia="zh-CN"/>
        </w:rPr>
        <w:t>（一）理财产品用语</w:t>
      </w:r>
    </w:p>
    <w:p>
      <w:pPr>
        <w:keepNext w:val="0"/>
        <w:keepLines w:val="0"/>
        <w:pageBreakBefore w:val="0"/>
        <w:widowControl w:val="0"/>
        <w:numPr>
          <w:ilvl w:val="0"/>
          <w:numId w:val="3"/>
        </w:numPr>
        <w:tabs>
          <w:tab w:val="left" w:pos="851"/>
          <w:tab w:val="clear" w:pos="420"/>
        </w:tabs>
        <w:bidi w:val="0"/>
        <w:spacing w:line="240" w:lineRule="auto"/>
        <w:ind w:left="0" w:firstLine="420"/>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销售代码：指本理财产品可能设置一类或多类产品份额，管理人在理财产品销售管理过程中对各类份额设置的内部代码。</w:t>
      </w:r>
    </w:p>
    <w:p>
      <w:pPr>
        <w:keepNext w:val="0"/>
        <w:keepLines w:val="0"/>
        <w:pageBreakBefore w:val="0"/>
        <w:widowControl w:val="0"/>
        <w:numPr>
          <w:ilvl w:val="0"/>
          <w:numId w:val="3"/>
        </w:numPr>
        <w:tabs>
          <w:tab w:val="left" w:pos="851"/>
          <w:tab w:val="clear" w:pos="420"/>
        </w:tabs>
        <w:bidi w:val="0"/>
        <w:spacing w:line="240" w:lineRule="auto"/>
        <w:ind w:left="0" w:firstLine="420"/>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理财产品份额：指投资者持有本理财产品的单位数额。</w:t>
      </w:r>
    </w:p>
    <w:p>
      <w:pPr>
        <w:keepNext w:val="0"/>
        <w:keepLines w:val="0"/>
        <w:pageBreakBefore w:val="0"/>
        <w:widowControl w:val="0"/>
        <w:numPr>
          <w:ilvl w:val="0"/>
          <w:numId w:val="3"/>
        </w:numPr>
        <w:tabs>
          <w:tab w:val="left" w:pos="851"/>
          <w:tab w:val="clear" w:pos="420"/>
        </w:tabs>
        <w:bidi w:val="0"/>
        <w:spacing w:line="240" w:lineRule="auto"/>
        <w:ind w:left="0" w:firstLine="420"/>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理财产品资产总值：指产品拥有的各类有价证券、银行存款、应收款项及其他资产的价值总和。</w:t>
      </w:r>
    </w:p>
    <w:p>
      <w:pPr>
        <w:keepNext w:val="0"/>
        <w:keepLines w:val="0"/>
        <w:pageBreakBefore w:val="0"/>
        <w:widowControl w:val="0"/>
        <w:numPr>
          <w:ilvl w:val="0"/>
          <w:numId w:val="3"/>
        </w:numPr>
        <w:tabs>
          <w:tab w:val="left" w:pos="851"/>
          <w:tab w:val="clear" w:pos="420"/>
        </w:tabs>
        <w:bidi w:val="0"/>
        <w:spacing w:line="240" w:lineRule="auto"/>
        <w:ind w:left="0" w:firstLine="420"/>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理财产品负债总值：指产品运作及融资时形成的负债价值总和，包括融资资金本息、应付各项费用（包括托管费、销售服务费、固定管理费、信息技术服务费、浮动管理费、其他费用等）、应付税金及其他应付款项等。</w:t>
      </w:r>
    </w:p>
    <w:p>
      <w:pPr>
        <w:keepNext w:val="0"/>
        <w:keepLines w:val="0"/>
        <w:pageBreakBefore w:val="0"/>
        <w:widowControl w:val="0"/>
        <w:numPr>
          <w:ilvl w:val="0"/>
          <w:numId w:val="3"/>
        </w:numPr>
        <w:tabs>
          <w:tab w:val="left" w:pos="851"/>
          <w:tab w:val="clear" w:pos="420"/>
        </w:tabs>
        <w:bidi w:val="0"/>
        <w:spacing w:line="240" w:lineRule="auto"/>
        <w:ind w:left="0" w:firstLine="420"/>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理财产品资产净值/净资产：指产品资产总值减去产品负债总值后的价值。</w:t>
      </w:r>
    </w:p>
    <w:p>
      <w:pPr>
        <w:keepNext w:val="0"/>
        <w:keepLines w:val="0"/>
        <w:pageBreakBefore w:val="0"/>
        <w:widowControl w:val="0"/>
        <w:numPr>
          <w:ilvl w:val="0"/>
          <w:numId w:val="3"/>
        </w:numPr>
        <w:tabs>
          <w:tab w:val="left" w:pos="851"/>
          <w:tab w:val="clear" w:pos="420"/>
        </w:tabs>
        <w:bidi w:val="0"/>
        <w:spacing w:line="240" w:lineRule="auto"/>
        <w:ind w:left="0" w:firstLine="420"/>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理财产品份额单位净值/理财产品单位净值/单位净值：指每1份理财产品份额以人民币计价的价格。理财产品单位净值=资产净值/产品总份额。</w:t>
      </w:r>
    </w:p>
    <w:p>
      <w:pPr>
        <w:keepNext w:val="0"/>
        <w:keepLines w:val="0"/>
        <w:pageBreakBefore w:val="0"/>
        <w:widowControl w:val="0"/>
        <w:numPr>
          <w:ilvl w:val="0"/>
          <w:numId w:val="3"/>
        </w:numPr>
        <w:tabs>
          <w:tab w:val="left" w:pos="851"/>
          <w:tab w:val="clear" w:pos="420"/>
        </w:tabs>
        <w:bidi w:val="0"/>
        <w:spacing w:line="240" w:lineRule="auto"/>
        <w:ind w:left="0" w:firstLine="420"/>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产品份额累计净值：指理财产品份额的单位净值与理财产品成立后历次累计单位收益分配的总和。</w:t>
      </w:r>
    </w:p>
    <w:p>
      <w:pPr>
        <w:keepNext w:val="0"/>
        <w:keepLines w:val="0"/>
        <w:pageBreakBefore w:val="0"/>
        <w:widowControl w:val="0"/>
        <w:numPr>
          <w:ilvl w:val="0"/>
          <w:numId w:val="3"/>
        </w:numPr>
        <w:tabs>
          <w:tab w:val="left" w:pos="851"/>
          <w:tab w:val="clear" w:pos="420"/>
        </w:tabs>
        <w:bidi w:val="0"/>
        <w:spacing w:line="240" w:lineRule="auto"/>
        <w:ind w:left="0" w:firstLine="420"/>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流动性受限资产：是指由于法律法规、监管、合同或操作障碍等原因无法以合理价格予以变现的资产，包括到期日在10个交易日以上的逆回购与银行定期存款（含协议约定有条件提前支取的银行存款）、距可赎回日在10个交易日以上的资产管理产品、停牌股票、流通受限的新股及非公开发行股票、资产支持证券（票据），因发行人债务违约无法进行转让或交易的债券和非金融企业债务融资工具，以及其他流动性受限资产。</w:t>
      </w:r>
    </w:p>
    <w:p>
      <w:pPr>
        <w:keepNext w:val="0"/>
        <w:keepLines w:val="0"/>
        <w:pageBreakBefore w:val="0"/>
        <w:widowControl w:val="0"/>
        <w:numPr>
          <w:ilvl w:val="0"/>
          <w:numId w:val="3"/>
        </w:numPr>
        <w:tabs>
          <w:tab w:val="left" w:pos="851"/>
          <w:tab w:val="clear" w:pos="420"/>
        </w:tabs>
        <w:bidi w:val="0"/>
        <w:spacing w:line="240" w:lineRule="auto"/>
        <w:ind w:left="0" w:firstLine="420"/>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个工作日可变现资产：包括可在交易所、银行间市场正常交易的股票、债券、非金融企业债务融资工具、期货及期权合约以及同业存单，7个工作日内到期或可支取的买入返售、银行存款，7个工作日内能够确认收到的各类应收款项等。</w:t>
      </w:r>
    </w:p>
    <w:p>
      <w:pPr>
        <w:keepNext w:val="0"/>
        <w:keepLines w:val="0"/>
        <w:pageBreakBefore w:val="0"/>
        <w:numPr>
          <w:ilvl w:val="0"/>
          <w:numId w:val="0"/>
        </w:numPr>
        <w:bidi w:val="0"/>
        <w:spacing w:line="240" w:lineRule="auto"/>
        <w:ind w:firstLine="420"/>
        <w:rPr>
          <w:rFonts w:hint="eastAsia" w:ascii="楷体" w:hAnsi="楷体" w:eastAsia="楷体" w:cs="楷体"/>
          <w:color w:val="auto"/>
          <w:sz w:val="21"/>
          <w:szCs w:val="21"/>
          <w:highlight w:val="none"/>
          <w:lang w:val="en-US" w:eastAsia="zh-CN"/>
        </w:rPr>
      </w:pPr>
      <w:r>
        <w:rPr>
          <w:rFonts w:hint="eastAsia" w:ascii="楷体" w:hAnsi="楷体" w:eastAsia="楷体" w:cs="楷体"/>
          <w:color w:val="auto"/>
          <w:sz w:val="21"/>
          <w:szCs w:val="21"/>
          <w:highlight w:val="none"/>
          <w:lang w:val="en-US" w:eastAsia="zh-CN"/>
        </w:rPr>
        <w:t>（二）期间与日期</w:t>
      </w:r>
    </w:p>
    <w:p>
      <w:pPr>
        <w:keepNext w:val="0"/>
        <w:keepLines w:val="0"/>
        <w:pageBreakBefore w:val="0"/>
        <w:widowControl w:val="0"/>
        <w:numPr>
          <w:ilvl w:val="0"/>
          <w:numId w:val="4"/>
        </w:numPr>
        <w:tabs>
          <w:tab w:val="left" w:pos="728"/>
          <w:tab w:val="clear" w:pos="420"/>
        </w:tabs>
        <w:bidi w:val="0"/>
        <w:spacing w:line="240" w:lineRule="auto"/>
        <w:ind w:left="0" w:firstLine="420"/>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工作日：指国家法定工作日。</w:t>
      </w:r>
    </w:p>
    <w:p>
      <w:pPr>
        <w:keepNext w:val="0"/>
        <w:keepLines w:val="0"/>
        <w:pageBreakBefore w:val="0"/>
        <w:widowControl w:val="0"/>
        <w:numPr>
          <w:ilvl w:val="0"/>
          <w:numId w:val="4"/>
        </w:numPr>
        <w:tabs>
          <w:tab w:val="left" w:pos="728"/>
          <w:tab w:val="clear" w:pos="420"/>
        </w:tabs>
        <w:bidi w:val="0"/>
        <w:spacing w:line="240" w:lineRule="auto"/>
        <w:ind w:left="0" w:firstLine="420"/>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交易日：指上海证券交易所和深圳证券交易所的正常开盘交易日。</w:t>
      </w:r>
    </w:p>
    <w:p>
      <w:pPr>
        <w:keepNext w:val="0"/>
        <w:keepLines w:val="0"/>
        <w:pageBreakBefore w:val="0"/>
        <w:widowControl w:val="0"/>
        <w:numPr>
          <w:ilvl w:val="0"/>
          <w:numId w:val="4"/>
        </w:numPr>
        <w:tabs>
          <w:tab w:val="left" w:pos="728"/>
          <w:tab w:val="clear" w:pos="420"/>
        </w:tabs>
        <w:bidi w:val="0"/>
        <w:spacing w:line="240" w:lineRule="auto"/>
        <w:ind w:left="0" w:firstLine="420"/>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份额登记日/份额确认日：指管理人对投资者提交的</w:t>
      </w:r>
      <w:r>
        <w:rPr>
          <w:rFonts w:hint="eastAsia" w:ascii="楷体" w:hAnsi="楷体" w:eastAsia="楷体" w:cs="楷体"/>
          <w:color w:val="auto"/>
          <w:sz w:val="21"/>
          <w:szCs w:val="21"/>
          <w:highlight w:val="none"/>
          <w:lang w:val="en-US" w:eastAsia="zh-CN"/>
        </w:rPr>
        <w:t>购买</w:t>
      </w:r>
      <w:r>
        <w:rPr>
          <w:rFonts w:hint="eastAsia" w:ascii="楷体" w:hAnsi="楷体" w:eastAsia="楷体" w:cs="楷体"/>
          <w:color w:val="auto"/>
          <w:sz w:val="21"/>
          <w:szCs w:val="21"/>
          <w:highlight w:val="none"/>
        </w:rPr>
        <w:t>申请进行份额登记的日期。</w:t>
      </w:r>
    </w:p>
    <w:p>
      <w:pPr>
        <w:keepNext w:val="0"/>
        <w:keepLines w:val="0"/>
        <w:pageBreakBefore w:val="0"/>
        <w:widowControl w:val="0"/>
        <w:numPr>
          <w:ilvl w:val="0"/>
          <w:numId w:val="4"/>
        </w:numPr>
        <w:tabs>
          <w:tab w:val="left" w:pos="728"/>
          <w:tab w:val="clear" w:pos="420"/>
        </w:tabs>
        <w:bidi w:val="0"/>
        <w:ind w:left="0" w:firstLine="420"/>
        <w:rPr>
          <w:rFonts w:hint="eastAsia" w:ascii="楷体" w:hAnsi="楷体" w:eastAsia="楷体" w:cs="Calibri"/>
          <w:sz w:val="21"/>
          <w:szCs w:val="21"/>
          <w:highlight w:val="none"/>
        </w:rPr>
      </w:pPr>
      <w:r>
        <w:rPr>
          <w:rFonts w:hint="eastAsia" w:ascii="楷体" w:hAnsi="楷体" w:eastAsia="楷体" w:cs="楷体"/>
          <w:color w:val="auto"/>
          <w:sz w:val="21"/>
          <w:szCs w:val="21"/>
          <w:highlight w:val="none"/>
        </w:rPr>
        <w:t>产品存续期：指自理财产品成立日起，至理财产品终止日的期间。</w:t>
      </w:r>
    </w:p>
    <w:p>
      <w:pPr>
        <w:keepNext w:val="0"/>
        <w:keepLines w:val="0"/>
        <w:pageBreakBefore w:val="0"/>
        <w:widowControl w:val="0"/>
        <w:numPr>
          <w:ilvl w:val="0"/>
          <w:numId w:val="4"/>
        </w:numPr>
        <w:tabs>
          <w:tab w:val="left" w:pos="728"/>
          <w:tab w:val="clear" w:pos="420"/>
        </w:tabs>
        <w:bidi w:val="0"/>
        <w:spacing w:line="240" w:lineRule="auto"/>
        <w:ind w:left="0" w:firstLine="420"/>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lang w:val="en-US" w:eastAsia="zh-CN"/>
        </w:rPr>
        <w:t>产品终止日/到期日：指理财产品终止的日期。</w:t>
      </w:r>
    </w:p>
    <w:p>
      <w:pPr>
        <w:keepNext w:val="0"/>
        <w:keepLines w:val="0"/>
        <w:pageBreakBefore w:val="0"/>
        <w:numPr>
          <w:ilvl w:val="0"/>
          <w:numId w:val="2"/>
        </w:numPr>
        <w:tabs>
          <w:tab w:val="left" w:pos="1134"/>
        </w:tabs>
        <w:bidi w:val="0"/>
        <w:spacing w:line="240" w:lineRule="auto"/>
        <w:ind w:left="0" w:firstLine="422"/>
        <w:outlineLvl w:val="1"/>
        <w:rPr>
          <w:rFonts w:hint="eastAsia" w:ascii="楷体" w:hAnsi="楷体" w:eastAsia="楷体" w:cs="楷体"/>
          <w:b/>
          <w:bCs w:val="0"/>
          <w:color w:val="auto"/>
          <w:sz w:val="21"/>
          <w:szCs w:val="21"/>
          <w:highlight w:val="none"/>
        </w:rPr>
      </w:pPr>
      <w:r>
        <w:rPr>
          <w:rFonts w:hint="eastAsia" w:ascii="楷体" w:hAnsi="楷体" w:eastAsia="楷体" w:cs="楷体"/>
          <w:b/>
          <w:bCs w:val="0"/>
          <w:color w:val="auto"/>
          <w:sz w:val="21"/>
          <w:szCs w:val="21"/>
          <w:highlight w:val="none"/>
          <w:lang w:val="en-US" w:eastAsia="zh-CN"/>
        </w:rPr>
        <w:t>投资管理</w:t>
      </w:r>
    </w:p>
    <w:p>
      <w:pPr>
        <w:keepNext w:val="0"/>
        <w:keepLines w:val="0"/>
        <w:pageBreakBefore w:val="0"/>
        <w:numPr>
          <w:ilvl w:val="0"/>
          <w:numId w:val="5"/>
        </w:numPr>
        <w:tabs>
          <w:tab w:val="left" w:pos="993"/>
        </w:tabs>
        <w:bidi w:val="0"/>
        <w:spacing w:line="240" w:lineRule="auto"/>
        <w:ind w:left="0" w:firstLine="420"/>
        <w:rPr>
          <w:rFonts w:hint="eastAsia" w:ascii="楷体" w:hAnsi="楷体" w:eastAsia="楷体" w:cs="楷体"/>
          <w:color w:val="auto"/>
          <w:sz w:val="21"/>
          <w:szCs w:val="21"/>
          <w:highlight w:val="none"/>
          <w:lang w:val="en-US" w:eastAsia="zh-CN"/>
        </w:rPr>
      </w:pPr>
      <w:r>
        <w:rPr>
          <w:rFonts w:hint="eastAsia" w:ascii="楷体" w:hAnsi="楷体" w:eastAsia="楷体" w:cs="楷体"/>
          <w:color w:val="auto"/>
          <w:sz w:val="21"/>
          <w:szCs w:val="21"/>
          <w:highlight w:val="none"/>
          <w:lang w:val="en-US" w:eastAsia="zh-CN"/>
        </w:rPr>
        <w:t>拟投资</w:t>
      </w:r>
      <w:r>
        <w:rPr>
          <w:rFonts w:hint="eastAsia" w:ascii="楷体" w:hAnsi="楷体" w:eastAsia="楷体" w:cs="楷体"/>
          <w:b w:val="0"/>
          <w:bCs w:val="0"/>
          <w:color w:val="auto"/>
          <w:sz w:val="21"/>
          <w:szCs w:val="21"/>
          <w:highlight w:val="none"/>
          <w:u w:val="none"/>
        </w:rPr>
        <w:t>非标准化债权类资产</w:t>
      </w:r>
    </w:p>
    <w:p>
      <w:pPr>
        <w:ind w:firstLine="420"/>
        <w:rPr>
          <w:rFonts w:hint="eastAsia" w:ascii="楷体" w:hAnsi="楷体" w:eastAsia="楷体"/>
          <w:b w:val="0"/>
          <w:bCs/>
          <w:color w:val="auto"/>
          <w:sz w:val="21"/>
          <w:szCs w:val="21"/>
          <w:highlight w:val="none"/>
          <w:u w:val="none"/>
        </w:rPr>
      </w:pPr>
      <w:r>
        <w:rPr>
          <w:rFonts w:hint="eastAsia" w:ascii="楷体" w:hAnsi="楷体" w:eastAsia="楷体"/>
          <w:b w:val="0"/>
          <w:bCs/>
          <w:color w:val="auto"/>
          <w:sz w:val="21"/>
          <w:szCs w:val="21"/>
          <w:highlight w:val="none"/>
          <w:u w:val="none"/>
        </w:rPr>
        <w:t>本产品计划配置以下</w:t>
      </w:r>
      <w:r>
        <w:rPr>
          <w:rFonts w:ascii="楷体" w:hAnsi="楷体" w:eastAsia="楷体"/>
          <w:b w:val="0"/>
          <w:bCs/>
          <w:color w:val="auto"/>
          <w:sz w:val="21"/>
          <w:szCs w:val="21"/>
          <w:highlight w:val="none"/>
          <w:u w:val="none"/>
        </w:rPr>
        <w:t>备选</w:t>
      </w:r>
      <w:r>
        <w:rPr>
          <w:rFonts w:hint="eastAsia" w:ascii="楷体" w:hAnsi="楷体" w:eastAsia="楷体"/>
          <w:b w:val="0"/>
          <w:bCs/>
          <w:color w:val="auto"/>
          <w:sz w:val="21"/>
          <w:szCs w:val="21"/>
          <w:highlight w:val="none"/>
          <w:u w:val="none"/>
        </w:rPr>
        <w:t>非标准化债权类资产：</w:t>
      </w:r>
    </w:p>
    <w:p>
      <w:pPr>
        <w:numPr>
          <w:ilvl w:val="0"/>
          <w:numId w:val="0"/>
        </w:numPr>
        <w:ind w:left="0" w:firstLine="420"/>
        <w:rPr>
          <w:rFonts w:hint="eastAsia" w:ascii="楷体" w:hAnsi="楷体" w:eastAsia="楷体" w:cs="Times New Roman"/>
          <w:bCs/>
          <w:color w:val="auto"/>
          <w:sz w:val="21"/>
          <w:szCs w:val="21"/>
          <w:highlight w:val="none"/>
          <w:u w:val="none"/>
          <w:lang w:eastAsia="zh-CN"/>
        </w:rPr>
      </w:pPr>
      <w:r>
        <w:rPr>
          <w:rFonts w:hint="eastAsia" w:ascii="楷体" w:hAnsi="楷体" w:eastAsia="楷体" w:cs="Times New Roman"/>
          <w:bCs/>
          <w:color w:val="auto"/>
          <w:sz w:val="21"/>
          <w:szCs w:val="21"/>
          <w:highlight w:val="none"/>
          <w:u w:val="none"/>
          <w:lang w:eastAsia="zh-CN"/>
        </w:rPr>
        <w:t>(1)同业借款：融资人为中国中信金融资产管理股份有限公司。融资人经营正常，是依法成立的国有公司，主要股东为中国中信集团有限公司、财政局、中国融信私募基金有限公司，实际控制人为财政部。 (2)同业借款：融资人为中国东方资产管理股份有限公司。融资人经营正常，是依法成立的国有公司，主要股东为中央汇金投资有限责任公司、全国社会保障基金理事会、中国电信集团有限公司，实际控制人为国务院。 (3)同业借款：融资人为中国信达资产管理股份有限公司。融资人经营正常，是依法成立的国有公司，主要股东为中央汇金投资有限责任公司，实际控制人为国务院。 (4)同业借款：融资人为中国长城资产管理股份有限公司。融资人经营正常，是依法成立的国有公司，主要股东为中央汇金投资有限责任公司、全国社会保障基金理事会、中国财产再保险有限责任公司、中国大地财产保险股份有限公司、中国人寿保险（集团）公司，实际控制人为国务院。 (5)收益凭证：融资人为中信证券股份有限公司。融资人经营正常，是依法设立的持牌金融机构，主要股东为中国中信金融控股有限公司、香港中央结算（代理人）有限公司、广州越秀资本控股集团有限公司，实际控制人为中国中信集团有限公司 (6)收益凭证：融资人为中国国际金融股份有限公司。融资人经营正常，是依法设立的持牌金融机构，主要股东为中央汇金投资有限责任公司、香港中央结算（代理人）有限公司、香港中央结算有限公司，实际控制人为中央汇金投资有限责任公司。 (7)收益凭证：融资人为中信建投证券股份有限公司。融资人经营正常，是依法设立的持牌金融机构，主要股东为北京金融控股集团有限公司、中央汇金投资有限责任公司、香港中央结算（代理人）有限公司，实际控制人为中央汇金投资有限责任公司。 (8)收益凭证：融资人为中国银河证券股份有限公司。融资人经营正常，是依法设立的持牌金融机构，主要股东为中国银河金融控股有限责任公司、香港中央结算（代理人）有限公司、香港中央结算有限公司，实际控制人为中央汇金投资有限责任公司。 (9)收益凭证：融资人为华泰证券股份有限公司。融资人经营正常，是依法设立的持牌金融机构，主要股东为江苏省国信集团有限公司、香港中央结算（代理人）有限公司、江苏交通控股有限公司，无实际控制人。 (10)收益凭证：融资人为国泰海通证券股份有限公司。融资人经营正常，是依法设立的持牌金融机构，主要股东为香港中央结算（代理人）有限公司、上海国有资产经营有限公司、上海国际集团有限公司，实际控制人为上海市国有资产监督管理委员会。 (11)收益凭证：融资人为申万宏源证券有限公司。融资人经营正常，是依法设立的持牌金融机构，主要股东为申万宏源集团股份有限公司，实际控制人为中央汇金投资有限责任公司。 (12)收益凭证：融资人为东方证券股份有限公司。融资人经营正常，是依法设立的持牌金融机构，主要股东为申能（集团）有限公司、香港中央结算（代理人）有限公司、上海海烟投资管理有限公司，实际控制人为上海市国有资产监督管理委员会。 (13)收益凭证：融资人为浙商证券股份有限公司。融资人经营正常，是依法设立的持牌金融机构，主要股东为浙江上三高速公路有限公司、台州市金融投资集团有限公司，实际控制人为浙江省交通投资集团有限公司。 (14)收益凭证：融资人为国投证券股份有限公司。融资人经营正常，是依法设立的持牌金融机构，主要股东为国投资本股份有限公司、上海毅胜投资有限公司，实际控制人为国家开发投资集团有限公司。 (15)收益凭证：融资人为平安证券股份有限公司。融资人经营正常，是依法设立的持牌金融机构，主要股东为平安信托有限责任公司、中国平安保险（集团）股份有限公司、深圳市英华柏涛投资有限公司，实际控制人为中国平安保险（集团）股份有限公司。 (16)收益凭证：融资人为中泰证券股份有限公司。融资人经营正常，是依法设立的持牌金融机构，主要股东为枣庄矿业（集团）有限责任公司、莱芜钢铁集团有限公司、山东高速投资控股有限公司，实际控制人为山东省人民政府国有资产监督管理委员会。 (17)收益凭证：融资人为兴业证券股份有限公司。融资人经营正常，是依法设立的持牌金融机构，主要股东为福建省财政厅、福建省投资开发集团有限责任公司、上海申新（集团）有限公司，实际控制人为福建省财政厅。 (18)收益凭证：融资人为财通证券股份有限公司。融资人经营正常，是依法设立的持牌金融机构，主要股东为浙江省创新投资集团有限公司、浙江省财开集团有限公司、台州市金融投资集团有限公司，实际控制人为浙江省财政厅。 (19)收益凭证：融资人为金融街证券股份有限公司。融资人经营正常，是依法设立的持牌金融机构，主要股东为北京华融综合投资有限公司、天风证券股份有限公司、包头华资实业股份有限公司，实际控制人为北京金融街投资（集团）有限公司。 (20)收益凭证：融资人为东海证券股份有限公司。融资人经营正常，是依法设立的持牌金融机构，主要股东为常州投资集团有限公司、山东金控资本管理有限公司，实际控制人为常州投资集团有限公司。 (21)收益凭证：融资人为国联民生证券股份有限公司。融资人经营正常，是依法设立的持牌金融机构，主要股东为无锡市国联发展（集团）有限公司、香港中央结算（代理人）有限公司、国联信托股份有限公司，实际控制人为无锡市人民政府国有资产监督管理委员会。 (22)收益凭证：融资人为光大证券股份有限公司。融资人经营正常，是依法设立的持牌金融机构，主要股东为中国光大集团股份有限公司、中国光大控股有限公司、香港中央结算（代理人）有限公司，实际控制人为中央汇金投资有限责任公司。 (23)收益凭证：融资人为长城证券股份有限公司。融资人经营正常，是依法设立的持牌金融机构，主要股东为华能资本服务有限公司、深圳新江南投资有限公司、深圳能源集团股份有限公司，实际控制人为中央汇金投资有限责任公司。 (24)收益凭证：融资人为中国中金财富证券有限公司。融资人经营正常，是依法设立的持牌金融机构，主要股东为中国国际金融股份有限公司，实际控制人为中央汇金投资有限责任公司。 (25)收益凭证：融资人为山西证券股份有限公司。融资人经营正常，是依法设立的持牌金融机构，主要股东为山西金融投资控股集团有限公司、太原钢铁（集团）有限公司、山西国际电力集团有限公司，实际控制人为山西省财政厅。 (26)收益凭证：融资人为国都证券股份有限公司。融资人经营正常，是依法设立的持牌金融机构，主要股东为浙商证券股份有限公司、中诚信托有限责任公司、北京国际信托有限公司，实际控制人为浙江省交通投资集团有限公司。 (27)收益凭证：融资人为东莞证券股份有限公司。融资人经营正常，是依法设立的持牌金融机构，主要股东为东莞市投资控股集团有限公司、东莞发展控股股份有限公司、广东锦龙发展股份有限公司，实际控制人为东莞市人民政府国有资产监督管理委员会。 (28)收益凭证：融资人为华鑫证券有限责任公司。融资人经营正常，是依法设立的持牌金融机构，主要股东为上海华鑫股份有限公司，实际控制人为上海市国有资产监督管理委员会。 (29)收益凭证：融资人为第一创业证券股份有限公司。融资人经营正常，是依法设立的持牌金融机构，主要股东为北京国有资本运营管理有限公司、北京首农食品集团有限公司，实际控制人为北京市人民政府国有资产监督管理委员会。 (30)收益凭证：融资人为西南证券股份有限公司。融资人经营正常，是依法设立的持牌金融机构，主要股东为重庆渝富资本运营集团有限公司、重庆市城市建设投资（集团）有限公司和重庆市江北嘴中央商务区投资集团有限公司，实际控制人为重庆市国有资产监督管理委员会。 (31)收益凭证：融资人为广发证券股份有限公司。融资人经营正常，是依法设立的持牌金融机构，主要股东为香港中央结算（代理人）有限公司、吉林敖东药业集团股份有限公司、辽宁成大股份有限公司，无实际控制人。 (32)收益凭证：融资人为方正证券股份有限公司。融资人经营正常，是依法设立的持牌金融机构，主要股东为新方正控股发展有限责任公司、全国社会保障基金理事会、中国信达资产管理股份有限公司，实际控制人为中国平安保险（集团）股份有限公司。 (33)收益凭证：融资人为招商证券股份有限公司。融资人经营正常，是依法设立的持牌金融机构，主要股东为招商局金融控股有限公司、深圳市集盛投资发展有限公司、香港中央结算（代理人）有限公司，实际控制人为招商局集团有限公司。</w:t>
      </w:r>
    </w:p>
    <w:p>
      <w:pPr>
        <w:numPr>
          <w:ilvl w:val="0"/>
          <w:numId w:val="0"/>
        </w:numPr>
        <w:ind w:left="0" w:firstLine="420"/>
        <w:rPr>
          <w:rFonts w:hint="default" w:ascii="楷体" w:hAnsi="楷体" w:eastAsia="楷体" w:cs="楷体"/>
          <w:b w:val="0"/>
          <w:bCs w:val="0"/>
          <w:sz w:val="21"/>
          <w:szCs w:val="21"/>
          <w:highlight w:val="none"/>
          <w:u w:val="none"/>
          <w:lang w:val="en-US" w:eastAsia="zh-CN"/>
        </w:rPr>
      </w:pPr>
      <w:r>
        <w:rPr>
          <w:rFonts w:hint="eastAsia" w:ascii="楷体" w:hAnsi="楷体" w:eastAsia="楷体" w:cs="Times New Roman"/>
          <w:bCs/>
          <w:color w:val="auto"/>
          <w:sz w:val="21"/>
          <w:szCs w:val="21"/>
          <w:highlight w:val="none"/>
          <w:u w:val="none"/>
          <w:lang w:eastAsia="zh-CN"/>
        </w:rPr>
        <w:t>资产到期日不超过理财产品</w:t>
      </w:r>
      <w:r>
        <w:rPr>
          <w:rFonts w:hint="eastAsia" w:ascii="楷体" w:hAnsi="楷体" w:eastAsia="楷体" w:cs="Times New Roman"/>
          <w:bCs/>
          <w:color w:val="auto"/>
          <w:sz w:val="21"/>
          <w:szCs w:val="21"/>
          <w:highlight w:val="none"/>
          <w:u w:val="none"/>
          <w:lang w:val="en-US" w:eastAsia="zh-CN"/>
        </w:rPr>
        <w:t>到期</w:t>
      </w:r>
      <w:r>
        <w:rPr>
          <w:rFonts w:hint="eastAsia" w:ascii="楷体" w:hAnsi="楷体" w:eastAsia="楷体" w:cs="Times New Roman"/>
          <w:bCs/>
          <w:color w:val="auto"/>
          <w:sz w:val="21"/>
          <w:szCs w:val="21"/>
          <w:highlight w:val="none"/>
          <w:u w:val="none"/>
          <w:lang w:eastAsia="zh-CN"/>
        </w:rPr>
        <w:t>日，循环期不还本、摊还期过手摊还本息</w:t>
      </w:r>
      <w:r>
        <w:rPr>
          <w:rFonts w:hint="eastAsia" w:ascii="楷体" w:hAnsi="楷体" w:eastAsia="楷体" w:cs="Times New Roman"/>
          <w:bCs/>
          <w:color w:val="auto"/>
          <w:sz w:val="21"/>
          <w:szCs w:val="21"/>
          <w:highlight w:val="none"/>
          <w:u w:val="none"/>
          <w:lang w:val="en-US" w:eastAsia="zh-CN"/>
        </w:rPr>
        <w:t>。</w:t>
      </w:r>
    </w:p>
    <w:p>
      <w:pPr>
        <w:keepNext w:val="0"/>
        <w:keepLines w:val="0"/>
        <w:pageBreakBefore w:val="0"/>
        <w:numPr>
          <w:ilvl w:val="0"/>
          <w:numId w:val="5"/>
        </w:numPr>
        <w:tabs>
          <w:tab w:val="left" w:pos="993"/>
        </w:tabs>
        <w:bidi w:val="0"/>
        <w:spacing w:line="240" w:lineRule="auto"/>
        <w:ind w:firstLine="0"/>
        <w:rPr>
          <w:rFonts w:hint="eastAsia" w:ascii="楷体" w:hAnsi="楷体" w:eastAsia="楷体" w:cs="楷体"/>
          <w:color w:val="auto"/>
          <w:sz w:val="21"/>
          <w:szCs w:val="21"/>
          <w:highlight w:val="none"/>
          <w:lang w:val="en-US" w:eastAsia="zh-CN"/>
        </w:rPr>
      </w:pPr>
      <w:r>
        <w:rPr>
          <w:rFonts w:hint="eastAsia" w:ascii="楷体" w:hAnsi="楷体" w:eastAsia="楷体" w:cs="楷体"/>
          <w:color w:val="auto"/>
          <w:sz w:val="21"/>
          <w:szCs w:val="21"/>
          <w:highlight w:val="none"/>
          <w:lang w:val="en-US" w:eastAsia="zh-CN"/>
        </w:rPr>
        <w:t>投资合作机构</w:t>
      </w:r>
    </w:p>
    <w:p>
      <w:pPr>
        <w:keepNext w:val="0"/>
        <w:keepLines w:val="0"/>
        <w:pageBreakBefore w:val="0"/>
        <w:numPr>
          <w:ilvl w:val="0"/>
          <w:numId w:val="0"/>
        </w:numPr>
        <w:bidi w:val="0"/>
        <w:spacing w:line="240" w:lineRule="auto"/>
        <w:ind w:firstLine="420"/>
        <w:rPr>
          <w:rFonts w:hint="eastAsia"/>
          <w:highlight w:val="none"/>
        </w:rPr>
      </w:pPr>
      <w:r>
        <w:rPr>
          <w:rFonts w:hint="eastAsia" w:ascii="楷体" w:hAnsi="楷体" w:eastAsia="楷体" w:cs="楷体"/>
          <w:color w:val="auto"/>
          <w:sz w:val="21"/>
          <w:szCs w:val="21"/>
          <w:highlight w:val="none"/>
        </w:rPr>
        <w:t>投资合作机构主要职责是对理财产品受托资金进行投资管理，</w:t>
      </w:r>
      <w:r>
        <w:rPr>
          <w:rFonts w:hint="eastAsia" w:ascii="楷体" w:hAnsi="楷体" w:eastAsia="楷体" w:cs="楷体"/>
          <w:color w:val="auto"/>
          <w:sz w:val="21"/>
          <w:szCs w:val="21"/>
          <w:highlight w:val="none"/>
          <w:lang w:val="en-US" w:eastAsia="zh-CN"/>
        </w:rPr>
        <w:t>管理人</w:t>
      </w:r>
      <w:r>
        <w:rPr>
          <w:rFonts w:hint="eastAsia" w:ascii="楷体" w:hAnsi="楷体" w:eastAsia="楷体" w:cs="楷体"/>
          <w:color w:val="auto"/>
          <w:sz w:val="21"/>
          <w:szCs w:val="21"/>
          <w:highlight w:val="none"/>
        </w:rPr>
        <w:t>已按投资决策流程对投资合作机构进行了准入，并持续开展投资合作机构的存续期管理。本产品投资合作机构包括：</w:t>
      </w:r>
    </w:p>
    <w:p>
      <w:pPr>
        <w:pBdr>
          <w:top w:val="none" w:color="000000" w:sz="0" w:space="0"/>
          <w:left w:val="none" w:color="000000" w:sz="0" w:space="0"/>
          <w:bottom w:val="none" w:color="000000" w:sz="0" w:space="0"/>
          <w:right w:val="none" w:color="000000" w:sz="0" w:space="0"/>
        </w:pBdr>
        <w:ind w:left="0" w:right="0" w:firstLine="420"/>
        <w:jc w:val="both"/>
      </w:pPr>
      <w:r>
        <w:rPr>
          <w:rFonts w:ascii="楷体" w:hAnsi="楷体" w:eastAsia="楷体" w:cs="楷体"/>
          <w:color w:val="000000"/>
          <w:sz w:val="22"/>
          <w:szCs w:val="22"/>
        </w:rPr>
        <w:t>①</w:t>
      </w:r>
      <w:r>
        <w:rPr>
          <w:rFonts w:ascii="楷体" w:hAnsi="楷体" w:eastAsia="楷体" w:cs="楷体"/>
          <w:color w:val="000000"/>
          <w:sz w:val="22"/>
        </w:rPr>
        <w:t>江苏省国际信托有限责任公司：江苏省国际信托有限责任公司是经江苏省人民政府和中国银行业监督管理委员会批准设立的非银行金融机构，是江苏省国信集团的主要成员企业之一，专业从事金融信托业务。</w:t>
      </w:r>
    </w:p>
    <w:p>
      <w:pPr>
        <w:pBdr>
          <w:top w:val="none" w:color="000000" w:sz="0" w:space="0"/>
          <w:left w:val="none" w:color="000000" w:sz="0" w:space="0"/>
          <w:bottom w:val="none" w:color="000000" w:sz="0" w:space="0"/>
          <w:right w:val="none" w:color="000000" w:sz="0" w:space="0"/>
        </w:pBdr>
        <w:ind w:left="0" w:right="0" w:firstLine="420"/>
        <w:jc w:val="both"/>
      </w:pPr>
      <w:r>
        <w:rPr>
          <w:rFonts w:ascii="楷体" w:hAnsi="楷体" w:eastAsia="楷体" w:cs="楷体"/>
          <w:color w:val="000000"/>
          <w:sz w:val="22"/>
          <w:szCs w:val="22"/>
        </w:rPr>
        <w:t>②</w:t>
      </w:r>
      <w:r>
        <w:rPr>
          <w:rFonts w:ascii="楷体" w:hAnsi="楷体" w:eastAsia="楷体" w:cs="楷体"/>
          <w:color w:val="000000"/>
          <w:sz w:val="22"/>
        </w:rPr>
        <w:t>创金合信基金管理有限公司：创金合信基金管理有限公司成立于</w:t>
      </w:r>
      <w:r>
        <w:rPr>
          <w:rFonts w:ascii="楷体" w:hAnsi="楷体" w:eastAsia="楷体" w:cs="楷体"/>
          <w:color w:val="000000"/>
          <w:sz w:val="21"/>
        </w:rPr>
        <w:t>2014年7月9日，由第一创业证券股份有限公司、深圳市金合信投资合伙企业（有限合伙）共同发起设立，注册地为深圳。</w:t>
      </w:r>
    </w:p>
    <w:p>
      <w:pPr>
        <w:pBdr>
          <w:top w:val="none" w:color="000000" w:sz="0" w:space="0"/>
          <w:left w:val="none" w:color="000000" w:sz="0" w:space="0"/>
          <w:bottom w:val="none" w:color="000000" w:sz="0" w:space="0"/>
          <w:right w:val="none" w:color="000000" w:sz="0" w:space="0"/>
        </w:pBdr>
        <w:ind w:left="0" w:right="0" w:firstLine="420"/>
        <w:jc w:val="both"/>
      </w:pPr>
      <w:r>
        <w:rPr>
          <w:rFonts w:ascii="楷体" w:hAnsi="楷体" w:eastAsia="楷体" w:cs="楷体"/>
          <w:color w:val="000000"/>
          <w:sz w:val="22"/>
          <w:szCs w:val="22"/>
        </w:rPr>
        <w:t>③</w:t>
      </w:r>
      <w:r>
        <w:rPr>
          <w:rFonts w:ascii="楷体" w:hAnsi="楷体" w:eastAsia="楷体" w:cs="楷体"/>
          <w:color w:val="000000"/>
          <w:sz w:val="22"/>
        </w:rPr>
        <w:t>华鑫国际信托有限公司：华鑫国际信托有限公司于2010年2月获得中国银行业监督管理委员会批准重新登记，并于同年3月正式挂牌开业，实际控制人为中国华电集团有限公司，注册资本73.95亿元。</w:t>
      </w:r>
    </w:p>
    <w:p>
      <w:pPr>
        <w:pBdr>
          <w:top w:val="none" w:color="000000" w:sz="0" w:space="0"/>
          <w:left w:val="none" w:color="000000" w:sz="0" w:space="0"/>
          <w:bottom w:val="none" w:color="000000" w:sz="0" w:space="0"/>
          <w:right w:val="none" w:color="000000" w:sz="0" w:space="0"/>
        </w:pBdr>
        <w:ind w:left="0" w:right="0" w:firstLine="420"/>
        <w:jc w:val="both"/>
      </w:pPr>
      <w:r>
        <w:rPr>
          <w:rFonts w:ascii="楷体" w:hAnsi="楷体" w:eastAsia="楷体" w:cs="楷体"/>
          <w:color w:val="000000"/>
          <w:sz w:val="22"/>
          <w:szCs w:val="22"/>
        </w:rPr>
        <w:t>④</w:t>
      </w:r>
      <w:r>
        <w:rPr>
          <w:rFonts w:ascii="楷体" w:hAnsi="楷体" w:eastAsia="楷体" w:cs="楷体"/>
          <w:color w:val="000000"/>
          <w:sz w:val="22"/>
        </w:rPr>
        <w:t>中国国际金融股份有限公司：中国国际金融股份有限公司于1995年7月31日成立，实际控制人为中央汇金投资有限责任公司，注册资本4,827,256,868元。</w:t>
      </w:r>
    </w:p>
    <w:p>
      <w:pPr>
        <w:pBdr>
          <w:top w:val="none" w:color="000000" w:sz="0" w:space="0"/>
          <w:left w:val="none" w:color="000000" w:sz="0" w:space="0"/>
          <w:bottom w:val="none" w:color="000000" w:sz="0" w:space="0"/>
          <w:right w:val="none" w:color="000000" w:sz="0" w:space="0"/>
        </w:pBdr>
        <w:ind w:left="0" w:right="0" w:firstLine="420"/>
        <w:jc w:val="both"/>
      </w:pPr>
      <w:r>
        <w:rPr>
          <w:rFonts w:ascii="楷体" w:hAnsi="楷体" w:eastAsia="楷体" w:cs="楷体"/>
          <w:color w:val="000000"/>
          <w:sz w:val="22"/>
          <w:szCs w:val="22"/>
        </w:rPr>
        <w:t>⑤</w:t>
      </w:r>
      <w:r>
        <w:rPr>
          <w:rFonts w:ascii="楷体" w:hAnsi="楷体" w:eastAsia="楷体" w:cs="楷体"/>
          <w:color w:val="000000"/>
          <w:sz w:val="22"/>
        </w:rPr>
        <w:t>中粮信托有限责任公司：中粮信托有限责任公司成立于2009年7月27日，是中国银行保险监督管理委员会核准的国有控股金融机构，注册资本28.3095亿元，前三大股东分别为中粮资本投资有限公司、蒙特利尔银行、中粮财务有限责任公司。</w:t>
      </w:r>
    </w:p>
    <w:p>
      <w:pPr>
        <w:pBdr>
          <w:top w:val="none" w:color="000000" w:sz="0" w:space="0"/>
          <w:left w:val="none" w:color="000000" w:sz="0" w:space="0"/>
          <w:bottom w:val="none" w:color="000000" w:sz="0" w:space="0"/>
          <w:right w:val="none" w:color="000000" w:sz="0" w:space="0"/>
        </w:pBdr>
        <w:ind w:left="0" w:right="0" w:firstLine="420"/>
        <w:jc w:val="both"/>
      </w:pPr>
      <w:r>
        <w:rPr>
          <w:rFonts w:ascii="楷体" w:hAnsi="楷体" w:eastAsia="楷体" w:cs="楷体"/>
          <w:color w:val="000000"/>
          <w:sz w:val="22"/>
          <w:szCs w:val="22"/>
        </w:rPr>
        <w:t>⑥</w:t>
      </w:r>
      <w:r>
        <w:rPr>
          <w:rFonts w:ascii="楷体" w:hAnsi="楷体" w:eastAsia="楷体" w:cs="楷体"/>
          <w:color w:val="000000"/>
          <w:sz w:val="22"/>
        </w:rPr>
        <w:t>中国对外经济贸易信托有限公司：中国对外经济贸易信托有限公司成立于1987年9月30日，是中国银行保险监督管理委员会核准的国有控股金融机构，注册资本80亿元，股东为中化资本有限公司和中化集团财务有限责任公司。</w:t>
      </w:r>
    </w:p>
    <w:p>
      <w:pPr>
        <w:pBdr>
          <w:top w:val="none" w:color="000000" w:sz="0" w:space="0"/>
          <w:left w:val="none" w:color="000000" w:sz="0" w:space="0"/>
          <w:bottom w:val="none" w:color="000000" w:sz="0" w:space="0"/>
          <w:right w:val="none" w:color="000000" w:sz="0" w:space="0"/>
        </w:pBdr>
        <w:ind w:left="0" w:right="0" w:firstLine="420"/>
        <w:jc w:val="both"/>
      </w:pPr>
      <w:r>
        <w:rPr>
          <w:rFonts w:ascii="楷体" w:hAnsi="楷体" w:eastAsia="楷体" w:cs="楷体"/>
          <w:color w:val="000000"/>
          <w:sz w:val="22"/>
          <w:szCs w:val="22"/>
        </w:rPr>
        <w:t>⑦</w:t>
      </w:r>
      <w:r>
        <w:rPr>
          <w:rFonts w:ascii="楷体" w:hAnsi="楷体" w:eastAsia="楷体" w:cs="楷体"/>
          <w:color w:val="000000"/>
          <w:sz w:val="22"/>
        </w:rPr>
        <w:t>南方资本管理有限公司：南方资本管理有限公司成立于</w:t>
      </w:r>
      <w:r>
        <w:rPr>
          <w:rFonts w:ascii="楷体" w:hAnsi="楷体" w:eastAsia="楷体" w:cs="楷体"/>
          <w:color w:val="000000"/>
          <w:sz w:val="21"/>
        </w:rPr>
        <w:t>2013年11月14日，注册资本5.42亿元人民币，注册地为深圳前海。经中国证监会核准，南方资本业务范围为特定客户资产管理业务以及中国证监会许可的其他业务。公司股东为南方基金管理股份有限公司（100%）。</w:t>
      </w:r>
    </w:p>
    <w:p>
      <w:pPr>
        <w:pBdr>
          <w:top w:val="none" w:color="000000" w:sz="0" w:space="0"/>
          <w:left w:val="none" w:color="000000" w:sz="0" w:space="0"/>
          <w:bottom w:val="none" w:color="000000" w:sz="0" w:space="0"/>
          <w:right w:val="none" w:color="000000" w:sz="0" w:space="0"/>
        </w:pBdr>
        <w:ind w:left="0" w:right="0" w:firstLine="420"/>
        <w:jc w:val="both"/>
        <w:rPr>
          <w:rFonts w:ascii="Times New Roman" w:hAnsi="Times New Roman" w:eastAsia="Times New Roman" w:cs="Times New Roman"/>
          <w:color w:val="000000"/>
          <w:szCs w:val="22"/>
        </w:rPr>
      </w:pPr>
      <w:r>
        <w:rPr>
          <w:rFonts w:ascii="楷体" w:hAnsi="楷体" w:eastAsia="楷体" w:cs="楷体"/>
          <w:color w:val="000000"/>
          <w:sz w:val="22"/>
          <w:szCs w:val="22"/>
        </w:rPr>
        <w:t>⑧建信保险资产管理有限公司：建信保险资产管理有限公司成立于2016年4月7日，是中国银行保险监督管理委员会核准的国有控股金融机构，注册资本3亿元，股东为建信人寿保险股份有限公司和建银国际（中国）有限公司。</w:t>
      </w:r>
    </w:p>
    <w:p>
      <w:pPr>
        <w:keepNext w:val="0"/>
        <w:keepLines w:val="0"/>
        <w:pageBreakBefore w:val="0"/>
        <w:numPr>
          <w:ilvl w:val="0"/>
          <w:numId w:val="5"/>
        </w:numPr>
        <w:tabs>
          <w:tab w:val="left" w:pos="993"/>
        </w:tabs>
        <w:bidi w:val="0"/>
        <w:spacing w:line="240" w:lineRule="auto"/>
        <w:ind w:firstLine="0"/>
        <w:rPr>
          <w:rFonts w:hint="eastAsia" w:ascii="楷体" w:hAnsi="楷体" w:eastAsia="楷体" w:cs="楷体"/>
          <w:color w:val="auto"/>
          <w:sz w:val="21"/>
          <w:szCs w:val="21"/>
          <w:highlight w:val="none"/>
          <w:lang w:val="en-US" w:eastAsia="zh-CN"/>
        </w:rPr>
      </w:pPr>
      <w:r>
        <w:rPr>
          <w:rFonts w:hint="eastAsia" w:ascii="楷体" w:hAnsi="楷体" w:eastAsia="楷体" w:cs="楷体"/>
          <w:color w:val="auto"/>
          <w:sz w:val="21"/>
          <w:szCs w:val="21"/>
          <w:highlight w:val="none"/>
          <w:lang w:val="en-US" w:eastAsia="zh-CN"/>
        </w:rPr>
        <w:t>投资限制</w:t>
      </w:r>
    </w:p>
    <w:p>
      <w:pPr>
        <w:keepNext w:val="0"/>
        <w:keepLines w:val="0"/>
        <w:pageBreakBefore w:val="0"/>
        <w:widowControl w:val="0"/>
        <w:numPr>
          <w:ilvl w:val="0"/>
          <w:numId w:val="6"/>
        </w:numPr>
        <w:bidi w:val="0"/>
        <w:ind w:left="0" w:firstLine="420"/>
        <w:rPr>
          <w:rFonts w:hint="eastAsia" w:ascii="楷体" w:hAnsi="楷体" w:eastAsia="楷体"/>
          <w:color w:val="auto"/>
          <w:sz w:val="21"/>
          <w:szCs w:val="21"/>
          <w:highlight w:val="none"/>
        </w:rPr>
      </w:pPr>
      <w:r>
        <w:rPr>
          <w:rFonts w:hint="eastAsia" w:ascii="楷体" w:hAnsi="楷体" w:eastAsia="楷体"/>
          <w:color w:val="auto"/>
          <w:sz w:val="21"/>
          <w:szCs w:val="21"/>
          <w:highlight w:val="none"/>
        </w:rPr>
        <w:t>本理财产品投资于单只证券或单只公募证券投资基金的市值不超过本产品净资产的10%。</w:t>
      </w:r>
    </w:p>
    <w:p>
      <w:pPr>
        <w:keepNext w:val="0"/>
        <w:keepLines w:val="0"/>
        <w:pageBreakBefore w:val="0"/>
        <w:widowControl w:val="0"/>
        <w:numPr>
          <w:ilvl w:val="0"/>
          <w:numId w:val="6"/>
        </w:numPr>
        <w:bidi w:val="0"/>
        <w:ind w:left="0" w:firstLine="420"/>
        <w:rPr>
          <w:rFonts w:hint="eastAsia" w:ascii="楷体" w:hAnsi="楷体" w:eastAsia="楷体"/>
          <w:color w:val="auto"/>
          <w:sz w:val="21"/>
          <w:szCs w:val="21"/>
          <w:highlight w:val="none"/>
        </w:rPr>
      </w:pPr>
      <w:r>
        <w:rPr>
          <w:rFonts w:hint="eastAsia" w:ascii="楷体" w:hAnsi="楷体" w:eastAsia="楷体"/>
          <w:color w:val="auto"/>
          <w:sz w:val="21"/>
          <w:szCs w:val="21"/>
          <w:highlight w:val="none"/>
        </w:rPr>
        <w:t>管理人发行的全部公募理财产品投资单只证券或者单只公募证券投资基金的市值不得超过该证券市值或者公募证券投资基金市值的30%。其中，管理人全部开放式公募理财产品投资单一上市公司发行的股票不得超过该上市公司可流通股票的15%。</w:t>
      </w:r>
    </w:p>
    <w:p>
      <w:pPr>
        <w:keepNext w:val="0"/>
        <w:keepLines w:val="0"/>
        <w:pageBreakBefore w:val="0"/>
        <w:widowControl w:val="0"/>
        <w:numPr>
          <w:ilvl w:val="0"/>
          <w:numId w:val="6"/>
        </w:numPr>
        <w:bidi w:val="0"/>
        <w:ind w:left="0" w:firstLine="420"/>
        <w:rPr>
          <w:rFonts w:hint="eastAsia" w:ascii="楷体" w:hAnsi="楷体" w:eastAsia="楷体"/>
          <w:color w:val="auto"/>
          <w:sz w:val="21"/>
          <w:szCs w:val="21"/>
          <w:highlight w:val="none"/>
        </w:rPr>
      </w:pPr>
      <w:r>
        <w:rPr>
          <w:rFonts w:hint="eastAsia" w:ascii="楷体" w:hAnsi="楷体" w:eastAsia="楷体"/>
          <w:color w:val="auto"/>
          <w:sz w:val="21"/>
          <w:szCs w:val="21"/>
          <w:highlight w:val="none"/>
        </w:rPr>
        <w:t>管理人全部产品持有单一上市公司发行的股票，不得超过该上市公司可流通股票的30%。</w:t>
      </w:r>
    </w:p>
    <w:p>
      <w:pPr>
        <w:keepNext w:val="0"/>
        <w:keepLines w:val="0"/>
        <w:pageBreakBefore w:val="0"/>
        <w:widowControl w:val="0"/>
        <w:bidi w:val="0"/>
        <w:ind w:firstLine="420"/>
        <w:rPr>
          <w:rFonts w:hint="eastAsia"/>
          <w:highlight w:val="none"/>
        </w:rPr>
      </w:pPr>
      <w:r>
        <w:rPr>
          <w:rFonts w:hint="eastAsia" w:ascii="楷体" w:hAnsi="楷体" w:eastAsia="楷体"/>
          <w:color w:val="auto"/>
          <w:sz w:val="21"/>
          <w:szCs w:val="21"/>
          <w:highlight w:val="none"/>
        </w:rPr>
        <w:t>针对上述第1、2</w:t>
      </w:r>
      <w:r>
        <w:rPr>
          <w:rFonts w:hint="eastAsia" w:ascii="楷体" w:hAnsi="楷体" w:eastAsia="楷体"/>
          <w:color w:val="auto"/>
          <w:sz w:val="21"/>
          <w:szCs w:val="21"/>
          <w:highlight w:val="none"/>
          <w:lang w:eastAsia="zh-CN"/>
        </w:rPr>
        <w:t>、</w:t>
      </w:r>
      <w:r>
        <w:rPr>
          <w:rFonts w:hint="eastAsia" w:ascii="楷体" w:hAnsi="楷体" w:eastAsia="楷体"/>
          <w:color w:val="auto"/>
          <w:sz w:val="21"/>
          <w:szCs w:val="21"/>
          <w:highlight w:val="none"/>
        </w:rPr>
        <w:t>3项，非因管理人主观因素致使不符合前述比例限制的，管理人将在流动性受限资产可出售、可转让或者恢复交易的10个交易日内调整至符合相关要求。</w:t>
      </w:r>
    </w:p>
    <w:p>
      <w:pPr>
        <w:keepNext w:val="0"/>
        <w:keepLines w:val="0"/>
        <w:pageBreakBefore w:val="0"/>
        <w:widowControl w:val="0"/>
        <w:numPr>
          <w:ilvl w:val="0"/>
          <w:numId w:val="6"/>
        </w:numPr>
        <w:bidi w:val="0"/>
        <w:ind w:left="0" w:firstLine="420"/>
        <w:rPr>
          <w:rFonts w:hint="eastAsia" w:ascii="楷体" w:hAnsi="楷体" w:eastAsia="楷体"/>
          <w:color w:val="auto"/>
          <w:sz w:val="21"/>
          <w:szCs w:val="21"/>
          <w:highlight w:val="none"/>
        </w:rPr>
      </w:pPr>
      <w:r>
        <w:rPr>
          <w:rFonts w:hint="eastAsia" w:ascii="楷体" w:hAnsi="楷体" w:eastAsia="楷体"/>
          <w:color w:val="auto"/>
          <w:sz w:val="21"/>
          <w:szCs w:val="21"/>
          <w:highlight w:val="none"/>
        </w:rPr>
        <w:t>本理财产品</w:t>
      </w:r>
      <w:r>
        <w:rPr>
          <w:rFonts w:hint="eastAsia" w:ascii="楷体" w:hAnsi="楷体" w:eastAsia="楷体"/>
          <w:color w:val="auto"/>
          <w:sz w:val="21"/>
          <w:szCs w:val="21"/>
          <w:highlight w:val="none"/>
          <w:lang w:val="en-US" w:eastAsia="zh-CN"/>
        </w:rPr>
        <w:t>杠杆率</w:t>
      </w:r>
      <w:r>
        <w:rPr>
          <w:rFonts w:hint="eastAsia" w:ascii="楷体" w:hAnsi="楷体" w:eastAsia="楷体"/>
          <w:color w:val="auto"/>
          <w:sz w:val="21"/>
          <w:szCs w:val="21"/>
          <w:highlight w:val="none"/>
        </w:rPr>
        <w:t>不超过</w:t>
      </w:r>
      <w:r>
        <w:rPr>
          <w:rFonts w:hint="eastAsia" w:ascii="楷体" w:hAnsi="楷体" w:eastAsia="楷体"/>
          <w:color w:val="auto"/>
          <w:sz w:val="21"/>
          <w:szCs w:val="21"/>
          <w:highlight w:val="none"/>
          <w:lang w:val="en-US" w:eastAsia="zh-CN"/>
        </w:rPr>
        <w:t>200%</w:t>
      </w:r>
      <w:r>
        <w:rPr>
          <w:rFonts w:hint="eastAsia" w:ascii="楷体" w:hAnsi="楷体" w:eastAsia="楷体"/>
          <w:color w:val="auto"/>
          <w:sz w:val="21"/>
          <w:szCs w:val="21"/>
          <w:highlight w:val="none"/>
        </w:rPr>
        <w:t>。</w:t>
      </w:r>
    </w:p>
    <w:p>
      <w:pPr>
        <w:keepNext w:val="0"/>
        <w:keepLines w:val="0"/>
        <w:pageBreakBefore w:val="0"/>
        <w:numPr>
          <w:ilvl w:val="0"/>
          <w:numId w:val="5"/>
        </w:numPr>
        <w:tabs>
          <w:tab w:val="left" w:pos="993"/>
        </w:tabs>
        <w:bidi w:val="0"/>
        <w:spacing w:line="240" w:lineRule="auto"/>
        <w:ind w:firstLine="0"/>
        <w:rPr>
          <w:rFonts w:hint="eastAsia" w:ascii="楷体" w:hAnsi="楷体" w:eastAsia="楷体" w:cs="楷体"/>
          <w:color w:val="auto"/>
          <w:sz w:val="21"/>
          <w:szCs w:val="21"/>
          <w:highlight w:val="none"/>
          <w:lang w:val="en-US" w:eastAsia="zh-CN"/>
        </w:rPr>
      </w:pPr>
      <w:r>
        <w:rPr>
          <w:rFonts w:hint="eastAsia" w:ascii="楷体" w:hAnsi="楷体" w:eastAsia="楷体" w:cs="楷体"/>
          <w:color w:val="auto"/>
          <w:sz w:val="21"/>
          <w:szCs w:val="21"/>
          <w:highlight w:val="none"/>
          <w:lang w:val="en-US" w:eastAsia="zh-CN"/>
        </w:rPr>
        <w:t>投资管理调整</w:t>
      </w:r>
    </w:p>
    <w:p>
      <w:pPr>
        <w:pStyle w:val="15"/>
        <w:keepNext w:val="0"/>
        <w:keepLines w:val="0"/>
        <w:pageBreakBefore w:val="0"/>
        <w:widowControl w:val="0"/>
        <w:bidi w:val="0"/>
        <w:spacing w:before="0"/>
        <w:ind w:left="0" w:firstLine="420"/>
        <w:jc w:val="both"/>
        <w:rPr>
          <w:rFonts w:hint="eastAsia" w:ascii="楷体" w:hAnsi="楷体" w:eastAsia="楷体" w:cs="楷体"/>
          <w:color w:val="auto"/>
          <w:sz w:val="21"/>
          <w:szCs w:val="21"/>
          <w:highlight w:val="none"/>
          <w:lang w:val="en-US" w:eastAsia="zh-CN" w:bidi="ar-SA"/>
        </w:rPr>
      </w:pPr>
      <w:r>
        <w:rPr>
          <w:rFonts w:hint="eastAsia" w:ascii="楷体" w:hAnsi="楷体" w:eastAsia="楷体" w:cs="楷体"/>
          <w:color w:val="auto"/>
          <w:sz w:val="21"/>
          <w:szCs w:val="21"/>
          <w:highlight w:val="none"/>
          <w:lang w:val="en-US" w:eastAsia="zh-CN" w:bidi="ar-SA"/>
        </w:rPr>
        <w:t>若法律法规、国家监管政策或市场情况发生重大变化，管理人在不改变产品类型的情况下，可对本说明书中已约定的投资范围、投资品种、投资比例等事项进行调整，产品管理人将于调整事项生效前2个工作日通过短信、苏银理财有限责任公司官方网站（www.suyinwealth.com）、销售机构电子渠道和营业网点等方式进行信息披露。此种情况下产品管理人将开放赎回，具体以届时产品管理人公告为准。若本理财产品的投资者不接受上述调整，可及时通过销售机构赎回本产品（高风险类型的理财产品超出比例范围投资较低风险资产的情况除外）；若本理财产品投资者未在约定的时间内赎回本产品，则视为本理财产品投资者接受相关调整且同意继续持有本理财产品。</w:t>
      </w:r>
    </w:p>
    <w:p>
      <w:pPr>
        <w:pStyle w:val="15"/>
        <w:keepNext w:val="0"/>
        <w:keepLines w:val="0"/>
        <w:pageBreakBefore w:val="0"/>
        <w:widowControl w:val="0"/>
        <w:bidi w:val="0"/>
        <w:spacing w:before="0"/>
        <w:ind w:left="0" w:firstLine="420"/>
        <w:jc w:val="both"/>
        <w:rPr>
          <w:rFonts w:hint="default" w:ascii="楷体" w:hAnsi="楷体" w:eastAsia="楷体" w:cs="楷体"/>
          <w:color w:val="auto"/>
          <w:sz w:val="21"/>
          <w:szCs w:val="21"/>
          <w:highlight w:val="none"/>
          <w:lang w:val="en-US" w:eastAsia="zh-CN"/>
        </w:rPr>
      </w:pPr>
      <w:r>
        <w:rPr>
          <w:rFonts w:hint="eastAsia" w:ascii="楷体" w:hAnsi="楷体" w:eastAsia="楷体" w:cs="楷体"/>
          <w:color w:val="auto"/>
          <w:sz w:val="21"/>
          <w:szCs w:val="21"/>
          <w:highlight w:val="none"/>
        </w:rPr>
        <w:t>如监管有最新规定的，可参照监管规定</w:t>
      </w:r>
      <w:r>
        <w:rPr>
          <w:rFonts w:hint="eastAsia" w:ascii="楷体" w:hAnsi="楷体" w:eastAsia="楷体" w:cs="楷体"/>
          <w:color w:val="auto"/>
          <w:sz w:val="21"/>
          <w:szCs w:val="21"/>
          <w:highlight w:val="none"/>
          <w:lang w:val="en-US" w:eastAsia="zh-CN"/>
        </w:rPr>
        <w:t>执行</w:t>
      </w:r>
      <w:r>
        <w:rPr>
          <w:rFonts w:hint="eastAsia" w:ascii="楷体" w:hAnsi="楷体" w:eastAsia="楷体" w:cs="楷体"/>
          <w:color w:val="auto"/>
          <w:sz w:val="21"/>
          <w:szCs w:val="21"/>
          <w:highlight w:val="none"/>
        </w:rPr>
        <w:t>。</w:t>
      </w:r>
    </w:p>
    <w:p>
      <w:pPr>
        <w:keepNext w:val="0"/>
        <w:keepLines w:val="0"/>
        <w:pageBreakBefore w:val="0"/>
        <w:numPr>
          <w:ilvl w:val="0"/>
          <w:numId w:val="2"/>
        </w:numPr>
        <w:tabs>
          <w:tab w:val="left" w:pos="1134"/>
        </w:tabs>
        <w:bidi w:val="0"/>
        <w:spacing w:line="240" w:lineRule="auto"/>
        <w:ind w:left="0" w:firstLine="422"/>
        <w:outlineLvl w:val="1"/>
        <w:rPr>
          <w:rFonts w:hint="eastAsia" w:ascii="楷体" w:hAnsi="楷体" w:eastAsia="楷体" w:cs="楷体"/>
          <w:b/>
          <w:color w:val="auto"/>
          <w:sz w:val="21"/>
          <w:szCs w:val="21"/>
          <w:highlight w:val="none"/>
        </w:rPr>
      </w:pPr>
      <w:r>
        <w:rPr>
          <w:rFonts w:hint="eastAsia" w:ascii="楷体" w:hAnsi="楷体" w:eastAsia="楷体" w:cs="楷体"/>
          <w:b/>
          <w:color w:val="auto"/>
          <w:sz w:val="21"/>
          <w:szCs w:val="21"/>
          <w:highlight w:val="none"/>
        </w:rPr>
        <w:t>产品终止</w:t>
      </w:r>
    </w:p>
    <w:p>
      <w:pPr>
        <w:keepNext w:val="0"/>
        <w:keepLines w:val="0"/>
        <w:pageBreakBefore w:val="0"/>
        <w:numPr>
          <w:ilvl w:val="0"/>
          <w:numId w:val="7"/>
        </w:numPr>
        <w:tabs>
          <w:tab w:val="left" w:pos="993"/>
        </w:tabs>
        <w:bidi w:val="0"/>
        <w:spacing w:line="240" w:lineRule="auto"/>
        <w:ind w:left="0" w:firstLine="420"/>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提前终止</w:t>
      </w:r>
    </w:p>
    <w:p>
      <w:pPr>
        <w:numPr>
          <w:ilvl w:val="0"/>
          <w:numId w:val="0"/>
        </w:numPr>
        <w:ind w:left="0" w:firstLine="420"/>
        <w:rPr>
          <w:rFonts w:hint="eastAsia" w:ascii="楷体" w:hAnsi="楷体" w:eastAsia="楷体" w:cs="楷体"/>
          <w:b w:val="0"/>
          <w:bCs w:val="0"/>
          <w:color w:val="auto"/>
          <w:sz w:val="21"/>
          <w:szCs w:val="21"/>
          <w:highlight w:val="none"/>
        </w:rPr>
      </w:pPr>
      <w:r>
        <w:rPr>
          <w:rFonts w:hint="eastAsia" w:ascii="楷体" w:hAnsi="楷体" w:eastAsia="楷体" w:cs="楷体"/>
          <w:b w:val="0"/>
          <w:bCs w:val="0"/>
          <w:color w:val="auto"/>
          <w:sz w:val="21"/>
          <w:szCs w:val="21"/>
          <w:highlight w:val="none"/>
        </w:rPr>
        <w:t>在理财产品投资运作期间内，投资者无权要求提前终止该理财产品。在理财产品投资运作期间内，</w:t>
      </w:r>
      <w:r>
        <w:rPr>
          <w:rFonts w:hint="eastAsia" w:ascii="楷体" w:hAnsi="楷体" w:eastAsia="楷体" w:cs="楷体"/>
          <w:b w:val="0"/>
          <w:bCs w:val="0"/>
          <w:color w:val="auto"/>
          <w:sz w:val="21"/>
          <w:szCs w:val="21"/>
          <w:highlight w:val="none"/>
          <w:lang w:val="en-US" w:eastAsia="zh-CN"/>
        </w:rPr>
        <w:t>包括但不限于</w:t>
      </w:r>
      <w:r>
        <w:rPr>
          <w:rFonts w:hint="eastAsia" w:ascii="楷体" w:hAnsi="楷体" w:eastAsia="楷体" w:cs="楷体"/>
          <w:b w:val="0"/>
          <w:bCs w:val="0"/>
          <w:color w:val="auto"/>
          <w:sz w:val="21"/>
          <w:szCs w:val="21"/>
          <w:highlight w:val="none"/>
        </w:rPr>
        <w:t>出现下列情形时，产品管理人有权提前终止本产品：因不可抗力原因导致理财产品无法继续运作；因法律法规变化或国家金融政策调整。如理财产品管理人提前终止本理财产品，将至少提前2个工作日（含）按说明书约定的信息披露方式予以披露</w:t>
      </w:r>
      <w:r>
        <w:rPr>
          <w:rFonts w:hint="eastAsia" w:ascii="楷体" w:hAnsi="楷体" w:eastAsia="楷体" w:cs="楷体"/>
          <w:b w:val="0"/>
          <w:bCs w:val="0"/>
          <w:color w:val="auto"/>
          <w:sz w:val="21"/>
          <w:szCs w:val="21"/>
          <w:highlight w:val="none"/>
          <w:lang w:eastAsia="zh-CN"/>
        </w:rPr>
        <w:t>，</w:t>
      </w:r>
      <w:r>
        <w:rPr>
          <w:rFonts w:hint="eastAsia" w:ascii="楷体" w:hAnsi="楷体" w:eastAsia="楷体" w:cs="楷体"/>
          <w:b w:val="0"/>
          <w:bCs w:val="0"/>
          <w:color w:val="auto"/>
          <w:sz w:val="21"/>
          <w:szCs w:val="21"/>
          <w:highlight w:val="none"/>
          <w:lang w:val="en-US" w:eastAsia="zh-CN"/>
        </w:rPr>
        <w:t>明确产品终止日</w:t>
      </w:r>
      <w:r>
        <w:rPr>
          <w:rFonts w:hint="eastAsia" w:ascii="楷体" w:hAnsi="楷体" w:eastAsia="楷体" w:cs="楷体"/>
          <w:b w:val="0"/>
          <w:bCs w:val="0"/>
          <w:color w:val="auto"/>
          <w:sz w:val="21"/>
          <w:szCs w:val="21"/>
          <w:highlight w:val="none"/>
        </w:rPr>
        <w:t>。</w:t>
      </w:r>
    </w:p>
    <w:p>
      <w:pPr>
        <w:keepNext w:val="0"/>
        <w:keepLines w:val="0"/>
        <w:pageBreakBefore w:val="0"/>
        <w:numPr>
          <w:ilvl w:val="0"/>
          <w:numId w:val="7"/>
        </w:numPr>
        <w:tabs>
          <w:tab w:val="left" w:pos="993"/>
        </w:tabs>
        <w:bidi w:val="0"/>
        <w:spacing w:line="240" w:lineRule="auto"/>
        <w:ind w:left="0" w:firstLine="420"/>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lang w:val="en-US" w:eastAsia="zh-CN"/>
        </w:rPr>
        <w:t>正常终止</w:t>
      </w:r>
    </w:p>
    <w:p>
      <w:pPr>
        <w:keepNext w:val="0"/>
        <w:keepLines w:val="0"/>
        <w:pageBreakBefore w:val="0"/>
        <w:bidi w:val="0"/>
        <w:spacing w:line="240" w:lineRule="auto"/>
        <w:ind w:firstLine="420"/>
        <w:rPr>
          <w:rFonts w:hint="eastAsia" w:ascii="楷体" w:hAnsi="楷体" w:eastAsia="楷体" w:cs="楷体"/>
          <w:b w:val="0"/>
          <w:bCs w:val="0"/>
          <w:color w:val="auto"/>
          <w:sz w:val="21"/>
          <w:szCs w:val="21"/>
          <w:highlight w:val="none"/>
        </w:rPr>
      </w:pPr>
      <w:r>
        <w:rPr>
          <w:rFonts w:hint="eastAsia" w:ascii="楷体" w:hAnsi="楷体" w:eastAsia="楷体" w:cs="楷体"/>
          <w:b w:val="0"/>
          <w:bCs w:val="0"/>
          <w:color w:val="auto"/>
          <w:sz w:val="21"/>
          <w:szCs w:val="21"/>
          <w:highlight w:val="none"/>
        </w:rPr>
        <w:t>投资者持有本理财产品至产品</w:t>
      </w:r>
      <w:r>
        <w:rPr>
          <w:rFonts w:hint="eastAsia" w:ascii="楷体" w:hAnsi="楷体" w:eastAsia="楷体" w:cs="楷体"/>
          <w:b w:val="0"/>
          <w:bCs w:val="0"/>
          <w:color w:val="auto"/>
          <w:sz w:val="21"/>
          <w:szCs w:val="21"/>
          <w:highlight w:val="none"/>
          <w:lang w:val="en-US" w:eastAsia="zh-CN"/>
        </w:rPr>
        <w:t>到期日</w:t>
      </w:r>
      <w:r>
        <w:rPr>
          <w:rFonts w:hint="eastAsia" w:ascii="楷体" w:hAnsi="楷体" w:eastAsia="楷体" w:cs="楷体"/>
          <w:b w:val="0"/>
          <w:bCs w:val="0"/>
          <w:color w:val="auto"/>
          <w:sz w:val="21"/>
          <w:szCs w:val="21"/>
          <w:highlight w:val="none"/>
        </w:rPr>
        <w:t>，投资者的投资本金和收益（如有）将在产品到期后一次性支付。</w:t>
      </w:r>
    </w:p>
    <w:p>
      <w:pPr>
        <w:keepNext w:val="0"/>
        <w:keepLines w:val="0"/>
        <w:pageBreakBefore w:val="0"/>
        <w:numPr>
          <w:ilvl w:val="0"/>
          <w:numId w:val="7"/>
        </w:numPr>
        <w:tabs>
          <w:tab w:val="left" w:pos="993"/>
        </w:tabs>
        <w:bidi w:val="0"/>
        <w:spacing w:line="240" w:lineRule="auto"/>
        <w:ind w:left="0" w:firstLine="420"/>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延期</w:t>
      </w:r>
      <w:r>
        <w:rPr>
          <w:rFonts w:hint="eastAsia" w:ascii="楷体" w:hAnsi="楷体" w:eastAsia="楷体" w:cs="楷体"/>
          <w:color w:val="auto"/>
          <w:sz w:val="21"/>
          <w:szCs w:val="21"/>
          <w:highlight w:val="none"/>
          <w:lang w:val="en-US" w:eastAsia="zh-CN"/>
        </w:rPr>
        <w:t>终止</w:t>
      </w:r>
    </w:p>
    <w:p>
      <w:pPr>
        <w:ind w:firstLine="420"/>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因不可抗力、法律法规规定或监管部门认定的其他情形</w:t>
      </w:r>
      <w:r>
        <w:rPr>
          <w:rFonts w:hint="eastAsia" w:ascii="楷体" w:hAnsi="楷体" w:eastAsia="楷体" w:cs="Calibri"/>
          <w:color w:val="auto"/>
          <w:sz w:val="21"/>
          <w:szCs w:val="21"/>
          <w:highlight w:val="none"/>
          <w:lang w:eastAsia="zh-CN"/>
        </w:rPr>
        <w:t>，</w:t>
      </w:r>
      <w:r>
        <w:rPr>
          <w:rFonts w:hint="eastAsia" w:ascii="楷体" w:hAnsi="楷体" w:eastAsia="楷体" w:cs="Calibri"/>
          <w:color w:val="auto"/>
          <w:sz w:val="21"/>
          <w:szCs w:val="21"/>
          <w:highlight w:val="none"/>
        </w:rPr>
        <w:t>产品管理人有权延长本理财产品的终止日。产品管理人决定延期兑付的，将至少提前2个工作日（含）按说明书约定的信息披露方式予以披露。</w:t>
      </w:r>
    </w:p>
    <w:p>
      <w:pPr>
        <w:keepNext w:val="0"/>
        <w:keepLines w:val="0"/>
        <w:pageBreakBefore w:val="0"/>
        <w:numPr>
          <w:ilvl w:val="0"/>
          <w:numId w:val="7"/>
        </w:numPr>
        <w:tabs>
          <w:tab w:val="left" w:pos="993"/>
        </w:tabs>
        <w:bidi w:val="0"/>
        <w:spacing w:line="240" w:lineRule="auto"/>
        <w:ind w:left="0" w:firstLine="420"/>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投资者可得资金计算</w:t>
      </w:r>
    </w:p>
    <w:p>
      <w:pPr>
        <w:keepNext w:val="0"/>
        <w:keepLines w:val="0"/>
        <w:pageBreakBefore w:val="0"/>
        <w:bidi w:val="0"/>
        <w:spacing w:line="240" w:lineRule="auto"/>
        <w:ind w:firstLine="420"/>
        <w:rPr>
          <w:rFonts w:hint="eastAsia" w:ascii="楷体" w:hAnsi="楷体" w:eastAsia="楷体" w:cs="楷体"/>
          <w:b w:val="0"/>
          <w:bCs w:val="0"/>
          <w:color w:val="auto"/>
          <w:sz w:val="21"/>
          <w:szCs w:val="21"/>
          <w:highlight w:val="none"/>
        </w:rPr>
      </w:pPr>
      <w:r>
        <w:rPr>
          <w:rFonts w:hint="eastAsia" w:ascii="楷体" w:hAnsi="楷体" w:eastAsia="楷体" w:cs="楷体"/>
          <w:b w:val="0"/>
          <w:bCs w:val="0"/>
          <w:color w:val="auto"/>
          <w:sz w:val="21"/>
          <w:szCs w:val="21"/>
          <w:highlight w:val="none"/>
        </w:rPr>
        <w:t>投资者可得资金=投资者持有份额×产品到期</w:t>
      </w:r>
      <w:r>
        <w:rPr>
          <w:rFonts w:hint="eastAsia" w:ascii="楷体" w:hAnsi="楷体" w:eastAsia="楷体" w:cs="楷体"/>
          <w:b w:val="0"/>
          <w:bCs w:val="0"/>
          <w:color w:val="auto"/>
          <w:sz w:val="21"/>
          <w:szCs w:val="21"/>
          <w:highlight w:val="none"/>
          <w:lang w:eastAsia="zh-CN"/>
        </w:rPr>
        <w:t>（</w:t>
      </w:r>
      <w:r>
        <w:rPr>
          <w:rFonts w:hint="eastAsia" w:ascii="楷体" w:hAnsi="楷体" w:eastAsia="楷体" w:cs="楷体"/>
          <w:b w:val="0"/>
          <w:bCs w:val="0"/>
          <w:color w:val="auto"/>
          <w:sz w:val="21"/>
          <w:szCs w:val="21"/>
          <w:highlight w:val="none"/>
          <w:lang w:val="en-US" w:eastAsia="zh-CN"/>
        </w:rPr>
        <w:t>终止）</w:t>
      </w:r>
      <w:r>
        <w:rPr>
          <w:rFonts w:hint="eastAsia" w:ascii="楷体" w:hAnsi="楷体" w:eastAsia="楷体" w:cs="楷体"/>
          <w:b w:val="0"/>
          <w:bCs w:val="0"/>
          <w:color w:val="auto"/>
          <w:sz w:val="21"/>
          <w:szCs w:val="21"/>
          <w:highlight w:val="none"/>
        </w:rPr>
        <w:t>时单位净值</w:t>
      </w:r>
      <w:r>
        <w:rPr>
          <w:rFonts w:hint="eastAsia" w:ascii="楷体" w:hAnsi="楷体" w:eastAsia="楷体" w:cs="楷体"/>
          <w:b w:val="0"/>
          <w:bCs w:val="0"/>
          <w:color w:val="auto"/>
          <w:sz w:val="21"/>
          <w:szCs w:val="21"/>
          <w:highlight w:val="none"/>
          <w:lang w:val="en-US" w:eastAsia="zh-CN"/>
        </w:rPr>
        <w:t>-超额业绩报酬（如有）</w:t>
      </w:r>
      <w:r>
        <w:rPr>
          <w:rFonts w:hint="eastAsia" w:ascii="楷体" w:hAnsi="楷体" w:eastAsia="楷体" w:cs="楷体"/>
          <w:b w:val="0"/>
          <w:bCs w:val="0"/>
          <w:color w:val="auto"/>
          <w:sz w:val="21"/>
          <w:szCs w:val="21"/>
          <w:highlight w:val="none"/>
          <w:lang w:eastAsia="zh-CN"/>
        </w:rPr>
        <w:t>，</w:t>
      </w:r>
      <w:r>
        <w:rPr>
          <w:rFonts w:hint="eastAsia" w:ascii="楷体" w:hAnsi="楷体" w:eastAsia="楷体" w:cs="楷体"/>
          <w:b w:val="0"/>
          <w:bCs w:val="0"/>
          <w:color w:val="auto"/>
          <w:sz w:val="21"/>
          <w:szCs w:val="21"/>
          <w:highlight w:val="none"/>
        </w:rPr>
        <w:t>投资者可得资金以四舍五入的方法保留到小数点后两位。</w:t>
      </w:r>
    </w:p>
    <w:p>
      <w:pPr>
        <w:keepNext w:val="0"/>
        <w:keepLines w:val="0"/>
        <w:pageBreakBefore w:val="0"/>
        <w:numPr>
          <w:ilvl w:val="0"/>
          <w:numId w:val="7"/>
        </w:numPr>
        <w:tabs>
          <w:tab w:val="left" w:pos="993"/>
        </w:tabs>
        <w:bidi w:val="0"/>
        <w:spacing w:line="240" w:lineRule="auto"/>
        <w:ind w:left="0" w:firstLine="420"/>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lang w:val="en-US" w:eastAsia="zh-CN"/>
        </w:rPr>
        <w:t>终止</w:t>
      </w:r>
      <w:r>
        <w:rPr>
          <w:rFonts w:hint="eastAsia" w:ascii="楷体" w:hAnsi="楷体" w:eastAsia="楷体" w:cs="楷体"/>
          <w:color w:val="auto"/>
          <w:sz w:val="21"/>
          <w:szCs w:val="21"/>
          <w:highlight w:val="none"/>
        </w:rPr>
        <w:t>清算</w:t>
      </w:r>
    </w:p>
    <w:p>
      <w:pPr>
        <w:keepNext w:val="0"/>
        <w:keepLines w:val="0"/>
        <w:pageBreakBefore w:val="0"/>
        <w:bidi w:val="0"/>
        <w:spacing w:line="240" w:lineRule="auto"/>
        <w:ind w:firstLine="420"/>
        <w:rPr>
          <w:rFonts w:hint="eastAsia" w:ascii="楷体" w:hAnsi="楷体" w:eastAsia="楷体" w:cs="楷体"/>
          <w:sz w:val="21"/>
          <w:szCs w:val="21"/>
          <w:highlight w:val="none"/>
          <w:lang w:eastAsia="zh-CN"/>
        </w:rPr>
      </w:pPr>
      <w:r>
        <w:rPr>
          <w:rFonts w:hint="eastAsia" w:ascii="楷体" w:hAnsi="楷体" w:eastAsia="楷体" w:cs="楷体"/>
          <w:color w:val="auto"/>
          <w:sz w:val="21"/>
          <w:szCs w:val="21"/>
          <w:highlight w:val="none"/>
        </w:rPr>
        <w:t>投资者的投资本金和收益（如有）将于产品到期日</w:t>
      </w:r>
      <w:r>
        <w:rPr>
          <w:rFonts w:hint="eastAsia" w:ascii="楷体" w:hAnsi="楷体" w:eastAsia="楷体" w:cs="楷体"/>
          <w:color w:val="auto"/>
          <w:sz w:val="21"/>
          <w:szCs w:val="21"/>
          <w:highlight w:val="none"/>
          <w:lang w:eastAsia="zh-CN"/>
        </w:rPr>
        <w:t>（</w:t>
      </w:r>
      <w:r>
        <w:rPr>
          <w:rFonts w:hint="eastAsia" w:ascii="楷体" w:hAnsi="楷体" w:eastAsia="楷体" w:cs="楷体"/>
          <w:color w:val="auto"/>
          <w:sz w:val="21"/>
          <w:szCs w:val="21"/>
          <w:highlight w:val="none"/>
          <w:lang w:val="en-US" w:eastAsia="zh-CN"/>
        </w:rPr>
        <w:t>产品终止日）</w:t>
      </w:r>
      <w:r>
        <w:rPr>
          <w:rFonts w:hint="eastAsia" w:ascii="楷体" w:hAnsi="楷体" w:eastAsia="楷体" w:cs="楷体"/>
          <w:color w:val="auto"/>
          <w:sz w:val="21"/>
          <w:szCs w:val="21"/>
          <w:highlight w:val="none"/>
        </w:rPr>
        <w:t>后5个工作日以内划至投资者指定账户，如遇</w:t>
      </w:r>
      <w:r>
        <w:rPr>
          <w:rFonts w:hint="eastAsia" w:ascii="楷体" w:hAnsi="楷体" w:eastAsia="楷体" w:cs="楷体"/>
          <w:color w:val="auto"/>
          <w:sz w:val="21"/>
          <w:szCs w:val="21"/>
          <w:highlight w:val="none"/>
          <w:lang w:val="en-US" w:eastAsia="zh-CN"/>
        </w:rPr>
        <w:t>非工作日</w:t>
      </w:r>
      <w:r>
        <w:rPr>
          <w:rFonts w:hint="eastAsia" w:ascii="楷体" w:hAnsi="楷体" w:eastAsia="楷体" w:cs="楷体"/>
          <w:color w:val="auto"/>
          <w:sz w:val="21"/>
          <w:szCs w:val="21"/>
          <w:highlight w:val="none"/>
        </w:rPr>
        <w:t>则相应顺延。如预期无法</w:t>
      </w:r>
      <w:r>
        <w:rPr>
          <w:rFonts w:hint="eastAsia" w:ascii="楷体" w:hAnsi="楷体" w:eastAsia="楷体" w:cs="楷体"/>
          <w:color w:val="auto"/>
          <w:sz w:val="21"/>
          <w:szCs w:val="21"/>
          <w:highlight w:val="none"/>
          <w:lang w:val="en-US" w:eastAsia="zh-CN"/>
        </w:rPr>
        <w:t>在</w:t>
      </w:r>
      <w:r>
        <w:rPr>
          <w:rFonts w:hint="eastAsia" w:ascii="楷体" w:hAnsi="楷体" w:eastAsia="楷体" w:cs="楷体"/>
          <w:color w:val="auto"/>
          <w:sz w:val="21"/>
          <w:szCs w:val="21"/>
          <w:highlight w:val="none"/>
        </w:rPr>
        <w:t>规定的清算期内完成清算，管理人</w:t>
      </w:r>
      <w:r>
        <w:rPr>
          <w:rFonts w:hint="eastAsia" w:ascii="楷体" w:hAnsi="楷体" w:eastAsia="楷体" w:cs="楷体"/>
          <w:color w:val="auto"/>
          <w:sz w:val="21"/>
          <w:szCs w:val="21"/>
          <w:highlight w:val="none"/>
          <w:lang w:val="en-US" w:eastAsia="zh-CN"/>
        </w:rPr>
        <w:t>将</w:t>
      </w:r>
      <w:r>
        <w:rPr>
          <w:rFonts w:hint="eastAsia" w:ascii="楷体" w:hAnsi="楷体" w:eastAsia="楷体" w:cs="楷体"/>
          <w:color w:val="auto"/>
          <w:sz w:val="21"/>
          <w:szCs w:val="21"/>
          <w:highlight w:val="none"/>
        </w:rPr>
        <w:t>在原清算期结束前向投资者进行披露</w:t>
      </w:r>
      <w:r>
        <w:rPr>
          <w:rFonts w:hint="eastAsia" w:ascii="楷体" w:hAnsi="楷体" w:eastAsia="楷体" w:cs="楷体"/>
          <w:color w:val="auto"/>
          <w:sz w:val="21"/>
          <w:szCs w:val="21"/>
          <w:highlight w:val="none"/>
          <w:lang w:eastAsia="zh-CN"/>
        </w:rPr>
        <w:t>。</w:t>
      </w:r>
      <w:r>
        <w:rPr>
          <w:rFonts w:hint="eastAsia" w:ascii="楷体" w:hAnsi="楷体" w:eastAsia="楷体" w:cs="楷体"/>
          <w:color w:val="auto"/>
          <w:sz w:val="21"/>
          <w:szCs w:val="21"/>
          <w:highlight w:val="none"/>
        </w:rPr>
        <w:t>理财产品终止清算后，因发生无法预期事项</w:t>
      </w:r>
      <w:r>
        <w:rPr>
          <w:rFonts w:hint="eastAsia" w:ascii="楷体" w:hAnsi="楷体" w:eastAsia="楷体" w:cs="楷体"/>
          <w:color w:val="auto"/>
          <w:sz w:val="21"/>
          <w:szCs w:val="21"/>
          <w:highlight w:val="none"/>
          <w:lang w:val="en-US" w:eastAsia="zh-CN"/>
        </w:rPr>
        <w:t>须</w:t>
      </w:r>
      <w:r>
        <w:rPr>
          <w:rFonts w:hint="eastAsia" w:ascii="楷体" w:hAnsi="楷体" w:eastAsia="楷体" w:cs="楷体"/>
          <w:color w:val="auto"/>
          <w:sz w:val="21"/>
          <w:szCs w:val="21"/>
          <w:highlight w:val="none"/>
        </w:rPr>
        <w:t>再次清算的，</w:t>
      </w:r>
      <w:r>
        <w:rPr>
          <w:rFonts w:hint="eastAsia" w:ascii="楷体" w:hAnsi="楷体" w:eastAsia="楷体" w:cs="楷体"/>
          <w:color w:val="auto"/>
          <w:sz w:val="21"/>
          <w:szCs w:val="21"/>
          <w:highlight w:val="none"/>
          <w:lang w:val="en-US" w:eastAsia="zh-CN"/>
        </w:rPr>
        <w:t>管理人将</w:t>
      </w:r>
      <w:r>
        <w:rPr>
          <w:rFonts w:hint="eastAsia" w:ascii="楷体" w:hAnsi="楷体" w:eastAsia="楷体" w:cs="楷体"/>
          <w:color w:val="auto"/>
          <w:sz w:val="21"/>
          <w:szCs w:val="21"/>
          <w:highlight w:val="none"/>
        </w:rPr>
        <w:t>在完成再次清算之日起</w:t>
      </w:r>
      <w:r>
        <w:rPr>
          <w:rFonts w:hint="eastAsia" w:ascii="楷体" w:hAnsi="楷体" w:eastAsia="楷体" w:cs="楷体"/>
          <w:color w:val="auto"/>
          <w:sz w:val="21"/>
          <w:szCs w:val="21"/>
          <w:highlight w:val="none"/>
          <w:lang w:val="en-US" w:eastAsia="zh-CN"/>
        </w:rPr>
        <w:t>2</w:t>
      </w:r>
      <w:r>
        <w:rPr>
          <w:rFonts w:hint="eastAsia" w:ascii="楷体" w:hAnsi="楷体" w:eastAsia="楷体" w:cs="楷体"/>
          <w:color w:val="auto"/>
          <w:sz w:val="21"/>
          <w:szCs w:val="21"/>
          <w:highlight w:val="none"/>
        </w:rPr>
        <w:t>个工作日内，向投资者披露清算资金分配情况等信息。</w:t>
      </w:r>
    </w:p>
    <w:p>
      <w:pPr>
        <w:keepNext w:val="0"/>
        <w:keepLines w:val="0"/>
        <w:pageBreakBefore w:val="0"/>
        <w:numPr>
          <w:ilvl w:val="0"/>
          <w:numId w:val="2"/>
        </w:numPr>
        <w:tabs>
          <w:tab w:val="left" w:pos="1134"/>
        </w:tabs>
        <w:bidi w:val="0"/>
        <w:spacing w:line="240" w:lineRule="auto"/>
        <w:ind w:left="0" w:firstLine="422"/>
        <w:outlineLvl w:val="1"/>
        <w:rPr>
          <w:rFonts w:hint="eastAsia" w:ascii="楷体" w:hAnsi="楷体" w:eastAsia="楷体" w:cs="楷体"/>
          <w:b/>
          <w:color w:val="auto"/>
          <w:sz w:val="21"/>
          <w:szCs w:val="21"/>
          <w:highlight w:val="none"/>
          <w:lang w:val="en-US" w:eastAsia="zh-CN"/>
        </w:rPr>
      </w:pPr>
      <w:r>
        <w:rPr>
          <w:rFonts w:hint="eastAsia" w:ascii="楷体" w:hAnsi="楷体" w:eastAsia="楷体" w:cs="楷体"/>
          <w:b/>
          <w:color w:val="auto"/>
          <w:sz w:val="21"/>
          <w:szCs w:val="21"/>
          <w:highlight w:val="none"/>
          <w:lang w:val="en-US" w:eastAsia="zh-CN"/>
        </w:rPr>
        <w:t>情景示例</w:t>
      </w:r>
    </w:p>
    <w:p>
      <w:pPr>
        <w:ind w:firstLine="422"/>
        <w:rPr>
          <w:rFonts w:hint="eastAsia" w:ascii="楷体" w:hAnsi="楷体" w:eastAsia="楷体"/>
          <w:b/>
          <w:color w:val="auto"/>
          <w:sz w:val="21"/>
          <w:szCs w:val="21"/>
          <w:highlight w:val="none"/>
          <w:u w:val="single"/>
        </w:rPr>
      </w:pPr>
      <w:r>
        <w:rPr>
          <w:rFonts w:hint="eastAsia" w:ascii="楷体" w:hAnsi="楷体" w:eastAsia="楷体"/>
          <w:b/>
          <w:color w:val="auto"/>
          <w:sz w:val="21"/>
          <w:szCs w:val="21"/>
          <w:highlight w:val="none"/>
          <w:u w:val="single"/>
        </w:rPr>
        <w:t>以下示例均为假设情况，不代表本产品实际投资业绩。</w:t>
      </w:r>
    </w:p>
    <w:p>
      <w:pPr>
        <w:ind w:firstLine="420"/>
        <w:rPr>
          <w:rFonts w:hint="eastAsia" w:ascii="楷体" w:hAnsi="楷体" w:eastAsia="楷体"/>
          <w:color w:val="auto"/>
          <w:sz w:val="21"/>
          <w:szCs w:val="21"/>
          <w:highlight w:val="none"/>
        </w:rPr>
      </w:pPr>
      <w:r>
        <w:rPr>
          <w:rFonts w:hint="eastAsia" w:ascii="楷体" w:hAnsi="楷体" w:eastAsia="楷体"/>
          <w:color w:val="auto"/>
          <w:sz w:val="21"/>
          <w:szCs w:val="21"/>
          <w:highlight w:val="none"/>
        </w:rPr>
        <w:t>1.情景一</w:t>
      </w:r>
    </w:p>
    <w:p>
      <w:pPr>
        <w:ind w:firstLine="420"/>
        <w:rPr>
          <w:rFonts w:hint="eastAsia" w:ascii="楷体" w:hAnsi="楷体" w:eastAsia="楷体"/>
          <w:color w:val="auto"/>
          <w:sz w:val="21"/>
          <w:szCs w:val="21"/>
          <w:highlight w:val="none"/>
        </w:rPr>
      </w:pPr>
      <w:r>
        <w:rPr>
          <w:rFonts w:hint="eastAsia" w:ascii="楷体" w:hAnsi="楷体" w:eastAsia="楷体"/>
          <w:color w:val="auto"/>
          <w:sz w:val="21"/>
          <w:szCs w:val="21"/>
          <w:highlight w:val="none"/>
        </w:rPr>
        <w:t>假定投资者</w:t>
      </w:r>
      <w:r>
        <w:rPr>
          <w:rFonts w:hint="eastAsia" w:ascii="楷体" w:hAnsi="楷体" w:eastAsia="楷体"/>
          <w:color w:val="auto"/>
          <w:sz w:val="21"/>
          <w:szCs w:val="21"/>
          <w:highlight w:val="none"/>
          <w:lang w:val="en-US" w:eastAsia="zh-CN"/>
        </w:rPr>
        <w:t>购买</w:t>
      </w:r>
      <w:r>
        <w:rPr>
          <w:rFonts w:hint="eastAsia" w:ascii="楷体" w:hAnsi="楷体" w:eastAsia="楷体"/>
          <w:color w:val="auto"/>
          <w:sz w:val="21"/>
          <w:szCs w:val="21"/>
          <w:highlight w:val="none"/>
        </w:rPr>
        <w:t>本产品，投资金额为10,000.00元，</w:t>
      </w:r>
      <w:r>
        <w:rPr>
          <w:rFonts w:hint="eastAsia" w:ascii="楷体" w:hAnsi="楷体" w:eastAsia="楷体"/>
          <w:color w:val="auto"/>
          <w:sz w:val="21"/>
          <w:szCs w:val="21"/>
          <w:highlight w:val="none"/>
          <w:lang w:val="en-US" w:eastAsia="zh-CN"/>
        </w:rPr>
        <w:t>产品单位净值</w:t>
      </w:r>
      <w:r>
        <w:rPr>
          <w:rFonts w:hint="eastAsia" w:ascii="楷体" w:hAnsi="楷体" w:eastAsia="楷体"/>
          <w:color w:val="auto"/>
          <w:sz w:val="21"/>
          <w:szCs w:val="21"/>
          <w:highlight w:val="none"/>
        </w:rPr>
        <w:t>为1元</w:t>
      </w:r>
      <w:r>
        <w:rPr>
          <w:rFonts w:hint="eastAsia" w:ascii="楷体" w:hAnsi="楷体" w:eastAsia="楷体"/>
          <w:color w:val="auto"/>
          <w:sz w:val="21"/>
          <w:szCs w:val="21"/>
          <w:highlight w:val="none"/>
          <w:lang w:val="en-US" w:eastAsia="zh-CN"/>
        </w:rPr>
        <w:t>/份</w:t>
      </w:r>
      <w:r>
        <w:rPr>
          <w:rFonts w:hint="eastAsia" w:ascii="楷体" w:hAnsi="楷体" w:eastAsia="楷体"/>
          <w:color w:val="auto"/>
          <w:sz w:val="21"/>
          <w:szCs w:val="21"/>
          <w:highlight w:val="none"/>
        </w:rPr>
        <w:t>，折算份额为10,000.00份。</w:t>
      </w:r>
      <w:r>
        <w:rPr>
          <w:rFonts w:hint="eastAsia" w:ascii="楷体" w:hAnsi="楷体" w:eastAsia="楷体"/>
          <w:color w:val="auto"/>
          <w:sz w:val="21"/>
          <w:szCs w:val="21"/>
          <w:highlight w:val="none"/>
          <w:lang w:val="en-US" w:eastAsia="zh-CN"/>
        </w:rPr>
        <w:t>投资者赎回/</w:t>
      </w:r>
      <w:r>
        <w:rPr>
          <w:rFonts w:hint="eastAsia" w:ascii="楷体" w:hAnsi="楷体" w:eastAsia="楷体"/>
          <w:color w:val="auto"/>
          <w:sz w:val="21"/>
          <w:szCs w:val="21"/>
          <w:highlight w:val="none"/>
        </w:rPr>
        <w:t>到期时，产品单位净值为</w:t>
      </w:r>
      <w:r>
        <w:rPr>
          <w:rFonts w:ascii="楷体" w:hAnsi="楷体" w:eastAsia="楷体"/>
          <w:color w:val="auto"/>
          <w:sz w:val="21"/>
          <w:szCs w:val="21"/>
          <w:highlight w:val="none"/>
        </w:rPr>
        <w:t>1.0</w:t>
      </w:r>
      <w:r>
        <w:rPr>
          <w:rFonts w:hint="eastAsia" w:ascii="楷体" w:hAnsi="楷体" w:eastAsia="楷体"/>
          <w:color w:val="auto"/>
          <w:sz w:val="21"/>
          <w:szCs w:val="21"/>
          <w:highlight w:val="none"/>
          <w:lang w:val="en-US" w:eastAsia="zh-CN"/>
        </w:rPr>
        <w:t>25503</w:t>
      </w:r>
      <w:r>
        <w:rPr>
          <w:rFonts w:hint="eastAsia" w:ascii="楷体" w:hAnsi="楷体" w:eastAsia="楷体"/>
          <w:color w:val="auto"/>
          <w:sz w:val="21"/>
          <w:szCs w:val="21"/>
          <w:highlight w:val="none"/>
        </w:rPr>
        <w:t>元。</w:t>
      </w:r>
    </w:p>
    <w:p>
      <w:pPr>
        <w:ind w:firstLine="420"/>
        <w:rPr>
          <w:rFonts w:hint="eastAsia" w:ascii="楷体" w:hAnsi="楷体" w:eastAsia="楷体"/>
          <w:color w:val="auto"/>
          <w:sz w:val="21"/>
          <w:szCs w:val="21"/>
          <w:highlight w:val="none"/>
        </w:rPr>
      </w:pPr>
      <w:r>
        <w:rPr>
          <w:rFonts w:hint="eastAsia" w:ascii="楷体" w:hAnsi="楷体" w:eastAsia="楷体"/>
          <w:color w:val="auto"/>
          <w:sz w:val="21"/>
          <w:szCs w:val="21"/>
          <w:highlight w:val="none"/>
        </w:rPr>
        <w:t>投资者可得资金=10,000.00×</w:t>
      </w:r>
      <w:r>
        <w:rPr>
          <w:rFonts w:ascii="楷体" w:hAnsi="楷体" w:eastAsia="楷体"/>
          <w:color w:val="auto"/>
          <w:sz w:val="21"/>
          <w:szCs w:val="21"/>
          <w:highlight w:val="none"/>
        </w:rPr>
        <w:t>1.0</w:t>
      </w:r>
      <w:r>
        <w:rPr>
          <w:rFonts w:hint="eastAsia" w:ascii="楷体" w:hAnsi="楷体" w:eastAsia="楷体"/>
          <w:color w:val="auto"/>
          <w:sz w:val="21"/>
          <w:szCs w:val="21"/>
          <w:highlight w:val="none"/>
          <w:lang w:val="en-US" w:eastAsia="zh-CN"/>
        </w:rPr>
        <w:t>25503</w:t>
      </w:r>
      <w:r>
        <w:rPr>
          <w:rFonts w:hint="eastAsia" w:ascii="楷体" w:hAnsi="楷体" w:eastAsia="楷体"/>
          <w:color w:val="auto"/>
          <w:sz w:val="21"/>
          <w:szCs w:val="21"/>
          <w:highlight w:val="none"/>
        </w:rPr>
        <w:t>=</w:t>
      </w:r>
      <w:r>
        <w:rPr>
          <w:rFonts w:ascii="楷体" w:hAnsi="楷体" w:eastAsia="楷体"/>
          <w:color w:val="auto"/>
          <w:sz w:val="21"/>
          <w:szCs w:val="21"/>
          <w:highlight w:val="none"/>
        </w:rPr>
        <w:t>10</w:t>
      </w:r>
      <w:r>
        <w:rPr>
          <w:rFonts w:hint="eastAsia" w:ascii="楷体" w:hAnsi="楷体" w:eastAsia="楷体"/>
          <w:color w:val="auto"/>
          <w:sz w:val="21"/>
          <w:szCs w:val="21"/>
          <w:highlight w:val="none"/>
        </w:rPr>
        <w:t>,</w:t>
      </w:r>
      <w:r>
        <w:rPr>
          <w:rFonts w:hint="eastAsia" w:ascii="楷体" w:hAnsi="楷体" w:eastAsia="楷体"/>
          <w:color w:val="auto"/>
          <w:sz w:val="21"/>
          <w:szCs w:val="21"/>
          <w:highlight w:val="none"/>
          <w:lang w:val="en-US" w:eastAsia="zh-CN"/>
        </w:rPr>
        <w:t>255</w:t>
      </w:r>
      <w:r>
        <w:rPr>
          <w:rFonts w:ascii="楷体" w:hAnsi="楷体" w:eastAsia="楷体"/>
          <w:color w:val="auto"/>
          <w:sz w:val="21"/>
          <w:szCs w:val="21"/>
          <w:highlight w:val="none"/>
        </w:rPr>
        <w:t>.</w:t>
      </w:r>
      <w:r>
        <w:rPr>
          <w:rFonts w:hint="eastAsia" w:ascii="楷体" w:hAnsi="楷体" w:eastAsia="楷体"/>
          <w:color w:val="auto"/>
          <w:sz w:val="21"/>
          <w:szCs w:val="21"/>
          <w:highlight w:val="none"/>
          <w:lang w:val="en-US" w:eastAsia="zh-CN"/>
        </w:rPr>
        <w:t>03</w:t>
      </w:r>
      <w:r>
        <w:rPr>
          <w:rFonts w:hint="eastAsia" w:ascii="楷体" w:hAnsi="楷体" w:eastAsia="楷体"/>
          <w:color w:val="auto"/>
          <w:sz w:val="21"/>
          <w:szCs w:val="21"/>
          <w:highlight w:val="none"/>
        </w:rPr>
        <w:t>（元）</w:t>
      </w:r>
    </w:p>
    <w:p>
      <w:pPr>
        <w:ind w:firstLine="420"/>
        <w:rPr>
          <w:rFonts w:hint="eastAsia" w:ascii="楷体" w:hAnsi="楷体" w:eastAsia="楷体"/>
          <w:color w:val="auto"/>
          <w:sz w:val="21"/>
          <w:szCs w:val="21"/>
          <w:highlight w:val="none"/>
        </w:rPr>
      </w:pPr>
      <w:r>
        <w:rPr>
          <w:rFonts w:hint="eastAsia" w:ascii="楷体" w:hAnsi="楷体" w:eastAsia="楷体"/>
          <w:color w:val="auto"/>
          <w:sz w:val="21"/>
          <w:szCs w:val="21"/>
          <w:highlight w:val="none"/>
        </w:rPr>
        <w:t>投资者投资收益=</w:t>
      </w:r>
      <w:r>
        <w:rPr>
          <w:rFonts w:ascii="楷体" w:hAnsi="楷体" w:eastAsia="楷体"/>
          <w:color w:val="auto"/>
          <w:sz w:val="21"/>
          <w:szCs w:val="21"/>
          <w:highlight w:val="none"/>
        </w:rPr>
        <w:t>10</w:t>
      </w:r>
      <w:r>
        <w:rPr>
          <w:rFonts w:hint="eastAsia" w:ascii="楷体" w:hAnsi="楷体" w:eastAsia="楷体"/>
          <w:color w:val="auto"/>
          <w:sz w:val="21"/>
          <w:szCs w:val="21"/>
          <w:highlight w:val="none"/>
        </w:rPr>
        <w:t>,</w:t>
      </w:r>
      <w:r>
        <w:rPr>
          <w:rFonts w:hint="eastAsia" w:ascii="楷体" w:hAnsi="楷体" w:eastAsia="楷体"/>
          <w:color w:val="auto"/>
          <w:sz w:val="21"/>
          <w:szCs w:val="21"/>
          <w:highlight w:val="none"/>
          <w:lang w:val="en-US" w:eastAsia="zh-CN"/>
        </w:rPr>
        <w:t>255</w:t>
      </w:r>
      <w:r>
        <w:rPr>
          <w:rFonts w:ascii="楷体" w:hAnsi="楷体" w:eastAsia="楷体"/>
          <w:color w:val="auto"/>
          <w:sz w:val="21"/>
          <w:szCs w:val="21"/>
          <w:highlight w:val="none"/>
        </w:rPr>
        <w:t>.</w:t>
      </w:r>
      <w:r>
        <w:rPr>
          <w:rFonts w:hint="eastAsia" w:ascii="楷体" w:hAnsi="楷体" w:eastAsia="楷体"/>
          <w:color w:val="auto"/>
          <w:sz w:val="21"/>
          <w:szCs w:val="21"/>
          <w:highlight w:val="none"/>
          <w:lang w:val="en-US" w:eastAsia="zh-CN"/>
        </w:rPr>
        <w:t>03</w:t>
      </w:r>
      <w:r>
        <w:rPr>
          <w:rFonts w:hint="eastAsia" w:ascii="楷体" w:hAnsi="楷体" w:eastAsia="楷体"/>
          <w:color w:val="auto"/>
          <w:sz w:val="21"/>
          <w:szCs w:val="21"/>
          <w:highlight w:val="none"/>
        </w:rPr>
        <w:t>-10,000.00=</w:t>
      </w:r>
      <w:r>
        <w:rPr>
          <w:rFonts w:hint="eastAsia" w:ascii="楷体" w:hAnsi="楷体" w:eastAsia="楷体"/>
          <w:color w:val="auto"/>
          <w:sz w:val="21"/>
          <w:szCs w:val="21"/>
          <w:highlight w:val="none"/>
          <w:lang w:val="en-US" w:eastAsia="zh-CN"/>
        </w:rPr>
        <w:t>255</w:t>
      </w:r>
      <w:r>
        <w:rPr>
          <w:rFonts w:ascii="楷体" w:hAnsi="楷体" w:eastAsia="楷体"/>
          <w:color w:val="auto"/>
          <w:sz w:val="21"/>
          <w:szCs w:val="21"/>
          <w:highlight w:val="none"/>
        </w:rPr>
        <w:t>.</w:t>
      </w:r>
      <w:r>
        <w:rPr>
          <w:rFonts w:hint="eastAsia" w:ascii="楷体" w:hAnsi="楷体" w:eastAsia="楷体"/>
          <w:color w:val="auto"/>
          <w:sz w:val="21"/>
          <w:szCs w:val="21"/>
          <w:highlight w:val="none"/>
          <w:lang w:val="en-US" w:eastAsia="zh-CN"/>
        </w:rPr>
        <w:t>03</w:t>
      </w:r>
      <w:r>
        <w:rPr>
          <w:rFonts w:hint="eastAsia" w:ascii="楷体" w:hAnsi="楷体" w:eastAsia="楷体"/>
          <w:color w:val="auto"/>
          <w:sz w:val="21"/>
          <w:szCs w:val="21"/>
          <w:highlight w:val="none"/>
        </w:rPr>
        <w:t>（元）</w:t>
      </w:r>
    </w:p>
    <w:p>
      <w:pPr>
        <w:ind w:firstLine="420"/>
        <w:rPr>
          <w:rFonts w:hint="eastAsia" w:ascii="楷体" w:hAnsi="楷体" w:eastAsia="楷体"/>
          <w:color w:val="auto"/>
          <w:sz w:val="21"/>
          <w:szCs w:val="21"/>
          <w:highlight w:val="none"/>
        </w:rPr>
      </w:pPr>
      <w:r>
        <w:rPr>
          <w:rFonts w:hint="eastAsia" w:ascii="楷体" w:hAnsi="楷体" w:eastAsia="楷体"/>
          <w:color w:val="auto"/>
          <w:sz w:val="21"/>
          <w:szCs w:val="21"/>
          <w:highlight w:val="none"/>
        </w:rPr>
        <w:t>2.情景二</w:t>
      </w:r>
    </w:p>
    <w:p>
      <w:pPr>
        <w:ind w:firstLine="420"/>
        <w:rPr>
          <w:rFonts w:hint="eastAsia" w:ascii="楷体" w:hAnsi="楷体" w:eastAsia="楷体"/>
          <w:color w:val="auto"/>
          <w:sz w:val="21"/>
          <w:szCs w:val="21"/>
          <w:highlight w:val="none"/>
        </w:rPr>
      </w:pPr>
      <w:r>
        <w:rPr>
          <w:rFonts w:hint="eastAsia" w:ascii="楷体" w:hAnsi="楷体" w:eastAsia="楷体"/>
          <w:color w:val="auto"/>
          <w:sz w:val="21"/>
          <w:szCs w:val="21"/>
          <w:highlight w:val="none"/>
        </w:rPr>
        <w:t>假定投资者</w:t>
      </w:r>
      <w:r>
        <w:rPr>
          <w:rFonts w:hint="eastAsia" w:ascii="楷体" w:hAnsi="楷体" w:eastAsia="楷体"/>
          <w:color w:val="auto"/>
          <w:sz w:val="21"/>
          <w:szCs w:val="21"/>
          <w:highlight w:val="none"/>
          <w:lang w:val="en-US" w:eastAsia="zh-CN"/>
        </w:rPr>
        <w:t>购买</w:t>
      </w:r>
      <w:r>
        <w:rPr>
          <w:rFonts w:hint="eastAsia" w:ascii="楷体" w:hAnsi="楷体" w:eastAsia="楷体"/>
          <w:color w:val="auto"/>
          <w:sz w:val="21"/>
          <w:szCs w:val="21"/>
          <w:highlight w:val="none"/>
        </w:rPr>
        <w:t>本产品，投资金额为10,000.00元，</w:t>
      </w:r>
      <w:r>
        <w:rPr>
          <w:rFonts w:hint="eastAsia" w:ascii="楷体" w:hAnsi="楷体" w:eastAsia="楷体"/>
          <w:color w:val="auto"/>
          <w:sz w:val="21"/>
          <w:szCs w:val="21"/>
          <w:highlight w:val="none"/>
          <w:lang w:val="en-US" w:eastAsia="zh-CN"/>
        </w:rPr>
        <w:t>产品单位净值</w:t>
      </w:r>
      <w:r>
        <w:rPr>
          <w:rFonts w:hint="eastAsia" w:ascii="楷体" w:hAnsi="楷体" w:eastAsia="楷体"/>
          <w:color w:val="auto"/>
          <w:sz w:val="21"/>
          <w:szCs w:val="21"/>
          <w:highlight w:val="none"/>
        </w:rPr>
        <w:t>为1元</w:t>
      </w:r>
      <w:r>
        <w:rPr>
          <w:rFonts w:hint="eastAsia" w:ascii="楷体" w:hAnsi="楷体" w:eastAsia="楷体"/>
          <w:color w:val="auto"/>
          <w:sz w:val="21"/>
          <w:szCs w:val="21"/>
          <w:highlight w:val="none"/>
          <w:lang w:val="en-US" w:eastAsia="zh-CN"/>
        </w:rPr>
        <w:t>/份</w:t>
      </w:r>
      <w:r>
        <w:rPr>
          <w:rFonts w:hint="eastAsia" w:ascii="楷体" w:hAnsi="楷体" w:eastAsia="楷体"/>
          <w:color w:val="auto"/>
          <w:sz w:val="21"/>
          <w:szCs w:val="21"/>
          <w:highlight w:val="none"/>
        </w:rPr>
        <w:t>，折算份额为10,000.00份。</w:t>
      </w:r>
      <w:r>
        <w:rPr>
          <w:rFonts w:hint="eastAsia" w:ascii="楷体" w:hAnsi="楷体" w:eastAsia="楷体"/>
          <w:color w:val="auto"/>
          <w:sz w:val="21"/>
          <w:szCs w:val="21"/>
          <w:highlight w:val="none"/>
          <w:lang w:val="en-US" w:eastAsia="zh-CN"/>
        </w:rPr>
        <w:t>投资者赎回/</w:t>
      </w:r>
      <w:r>
        <w:rPr>
          <w:rFonts w:hint="eastAsia" w:ascii="楷体" w:hAnsi="楷体" w:eastAsia="楷体"/>
          <w:color w:val="auto"/>
          <w:sz w:val="21"/>
          <w:szCs w:val="21"/>
          <w:highlight w:val="none"/>
        </w:rPr>
        <w:t>到期时，产品单位净值为</w:t>
      </w:r>
      <w:r>
        <w:rPr>
          <w:rFonts w:ascii="楷体" w:hAnsi="楷体" w:eastAsia="楷体"/>
          <w:color w:val="auto"/>
          <w:sz w:val="21"/>
          <w:szCs w:val="21"/>
          <w:highlight w:val="none"/>
        </w:rPr>
        <w:t>0.9975</w:t>
      </w:r>
      <w:r>
        <w:rPr>
          <w:rFonts w:hint="eastAsia" w:ascii="楷体" w:hAnsi="楷体" w:eastAsia="楷体"/>
          <w:color w:val="auto"/>
          <w:sz w:val="21"/>
          <w:szCs w:val="21"/>
          <w:highlight w:val="none"/>
          <w:lang w:val="en-US" w:eastAsia="zh-CN"/>
        </w:rPr>
        <w:t>94</w:t>
      </w:r>
      <w:r>
        <w:rPr>
          <w:rFonts w:hint="eastAsia" w:ascii="楷体" w:hAnsi="楷体" w:eastAsia="楷体"/>
          <w:color w:val="auto"/>
          <w:sz w:val="21"/>
          <w:szCs w:val="21"/>
          <w:highlight w:val="none"/>
        </w:rPr>
        <w:t>元。</w:t>
      </w:r>
    </w:p>
    <w:p>
      <w:pPr>
        <w:ind w:firstLine="420"/>
        <w:rPr>
          <w:rFonts w:hint="eastAsia" w:ascii="楷体" w:hAnsi="楷体" w:eastAsia="楷体"/>
          <w:color w:val="auto"/>
          <w:sz w:val="21"/>
          <w:szCs w:val="21"/>
          <w:highlight w:val="none"/>
        </w:rPr>
      </w:pPr>
      <w:r>
        <w:rPr>
          <w:rFonts w:hint="eastAsia" w:ascii="楷体" w:hAnsi="楷体" w:eastAsia="楷体"/>
          <w:color w:val="auto"/>
          <w:sz w:val="21"/>
          <w:szCs w:val="21"/>
          <w:highlight w:val="none"/>
        </w:rPr>
        <w:t>投资者可得资金=10,000.00×0.9975</w:t>
      </w:r>
      <w:r>
        <w:rPr>
          <w:rFonts w:hint="eastAsia" w:ascii="楷体" w:hAnsi="楷体" w:eastAsia="楷体"/>
          <w:color w:val="auto"/>
          <w:sz w:val="21"/>
          <w:szCs w:val="21"/>
          <w:highlight w:val="none"/>
          <w:lang w:val="en-US" w:eastAsia="zh-CN"/>
        </w:rPr>
        <w:t>94</w:t>
      </w:r>
      <w:r>
        <w:rPr>
          <w:rFonts w:hint="eastAsia" w:ascii="楷体" w:hAnsi="楷体" w:eastAsia="楷体"/>
          <w:color w:val="auto"/>
          <w:sz w:val="21"/>
          <w:szCs w:val="21"/>
          <w:highlight w:val="none"/>
        </w:rPr>
        <w:t>=9,975.</w:t>
      </w:r>
      <w:r>
        <w:rPr>
          <w:rFonts w:hint="eastAsia" w:ascii="楷体" w:hAnsi="楷体" w:eastAsia="楷体"/>
          <w:color w:val="auto"/>
          <w:sz w:val="21"/>
          <w:szCs w:val="21"/>
          <w:highlight w:val="none"/>
          <w:lang w:val="en-US" w:eastAsia="zh-CN"/>
        </w:rPr>
        <w:t>94</w:t>
      </w:r>
      <w:r>
        <w:rPr>
          <w:rFonts w:hint="eastAsia" w:ascii="楷体" w:hAnsi="楷体" w:eastAsia="楷体"/>
          <w:color w:val="auto"/>
          <w:sz w:val="21"/>
          <w:szCs w:val="21"/>
          <w:highlight w:val="none"/>
        </w:rPr>
        <w:t>（元）</w:t>
      </w:r>
    </w:p>
    <w:p>
      <w:pPr>
        <w:ind w:firstLine="420"/>
        <w:rPr>
          <w:rFonts w:hint="eastAsia" w:ascii="楷体" w:hAnsi="楷体" w:eastAsia="楷体"/>
          <w:color w:val="auto"/>
          <w:sz w:val="21"/>
          <w:szCs w:val="21"/>
          <w:highlight w:val="none"/>
        </w:rPr>
      </w:pPr>
      <w:r>
        <w:rPr>
          <w:rFonts w:hint="eastAsia" w:ascii="楷体" w:hAnsi="楷体" w:eastAsia="楷体"/>
          <w:color w:val="auto"/>
          <w:sz w:val="21"/>
          <w:szCs w:val="21"/>
          <w:highlight w:val="none"/>
        </w:rPr>
        <w:t>投资者投资收益=9,975.</w:t>
      </w:r>
      <w:r>
        <w:rPr>
          <w:rFonts w:hint="eastAsia" w:ascii="楷体" w:hAnsi="楷体" w:eastAsia="楷体"/>
          <w:color w:val="auto"/>
          <w:sz w:val="21"/>
          <w:szCs w:val="21"/>
          <w:highlight w:val="none"/>
          <w:lang w:val="en-US" w:eastAsia="zh-CN"/>
        </w:rPr>
        <w:t>94</w:t>
      </w:r>
      <w:r>
        <w:rPr>
          <w:rFonts w:hint="eastAsia" w:ascii="楷体" w:hAnsi="楷体" w:eastAsia="楷体"/>
          <w:color w:val="auto"/>
          <w:sz w:val="21"/>
          <w:szCs w:val="21"/>
          <w:highlight w:val="none"/>
        </w:rPr>
        <w:t>-10,000.00=-</w:t>
      </w:r>
      <w:r>
        <w:rPr>
          <w:rFonts w:ascii="楷体" w:hAnsi="楷体" w:eastAsia="楷体"/>
          <w:color w:val="auto"/>
          <w:sz w:val="21"/>
          <w:szCs w:val="21"/>
          <w:highlight w:val="none"/>
        </w:rPr>
        <w:t>2</w:t>
      </w:r>
      <w:r>
        <w:rPr>
          <w:rFonts w:hint="eastAsia" w:ascii="楷体" w:hAnsi="楷体" w:eastAsia="楷体"/>
          <w:color w:val="auto"/>
          <w:sz w:val="21"/>
          <w:szCs w:val="21"/>
          <w:highlight w:val="none"/>
          <w:lang w:val="en-US" w:eastAsia="zh-CN"/>
        </w:rPr>
        <w:t>4</w:t>
      </w:r>
      <w:r>
        <w:rPr>
          <w:rFonts w:hint="eastAsia" w:ascii="楷体" w:hAnsi="楷体" w:eastAsia="楷体"/>
          <w:color w:val="auto"/>
          <w:sz w:val="21"/>
          <w:szCs w:val="21"/>
          <w:highlight w:val="none"/>
        </w:rPr>
        <w:t>.</w:t>
      </w:r>
      <w:r>
        <w:rPr>
          <w:rFonts w:ascii="楷体" w:hAnsi="楷体" w:eastAsia="楷体"/>
          <w:color w:val="auto"/>
          <w:sz w:val="21"/>
          <w:szCs w:val="21"/>
          <w:highlight w:val="none"/>
        </w:rPr>
        <w:t>0</w:t>
      </w:r>
      <w:r>
        <w:rPr>
          <w:rFonts w:hint="eastAsia" w:ascii="楷体" w:hAnsi="楷体" w:eastAsia="楷体"/>
          <w:color w:val="auto"/>
          <w:sz w:val="21"/>
          <w:szCs w:val="21"/>
          <w:highlight w:val="none"/>
          <w:lang w:val="en-US" w:eastAsia="zh-CN"/>
        </w:rPr>
        <w:t>6</w:t>
      </w:r>
      <w:r>
        <w:rPr>
          <w:rFonts w:hint="eastAsia" w:ascii="楷体" w:hAnsi="楷体" w:eastAsia="楷体"/>
          <w:color w:val="auto"/>
          <w:sz w:val="21"/>
          <w:szCs w:val="21"/>
          <w:highlight w:val="none"/>
        </w:rPr>
        <w:t>（元）</w:t>
      </w:r>
    </w:p>
    <w:p>
      <w:pPr>
        <w:ind w:firstLine="422"/>
        <w:rPr>
          <w:rFonts w:hint="eastAsia" w:ascii="楷体" w:hAnsi="楷体" w:eastAsia="楷体"/>
          <w:b/>
          <w:color w:val="auto"/>
          <w:sz w:val="21"/>
          <w:szCs w:val="21"/>
          <w:highlight w:val="none"/>
          <w:u w:val="single"/>
        </w:rPr>
      </w:pPr>
      <w:r>
        <w:rPr>
          <w:rFonts w:hint="eastAsia" w:ascii="楷体" w:hAnsi="楷体" w:eastAsia="楷体"/>
          <w:b/>
          <w:color w:val="auto"/>
          <w:sz w:val="21"/>
          <w:szCs w:val="21"/>
          <w:highlight w:val="none"/>
          <w:u w:val="single"/>
        </w:rPr>
        <w:t>最不利的情形下，投资者可能损失100%本金。</w:t>
      </w:r>
    </w:p>
    <w:p>
      <w:pPr>
        <w:ind w:left="0" w:firstLine="422"/>
        <w:rPr>
          <w:highlight w:val="none"/>
        </w:rPr>
      </w:pPr>
      <w:r>
        <w:rPr>
          <w:rFonts w:hint="eastAsia" w:ascii="楷体" w:hAnsi="楷体" w:eastAsia="楷体"/>
          <w:b/>
          <w:color w:val="auto"/>
          <w:sz w:val="21"/>
          <w:szCs w:val="21"/>
          <w:highlight w:val="none"/>
          <w:u w:val="single"/>
        </w:rPr>
        <w:t>上述情况假设仅用于向投资者示例收益计算方法之用，并不代表管理人对实际投资情况的预期判断，</w:t>
      </w:r>
      <w:r>
        <w:rPr>
          <w:rFonts w:hint="eastAsia" w:ascii="楷体" w:hAnsi="楷体" w:eastAsia="楷体"/>
          <w:b/>
          <w:color w:val="auto"/>
          <w:sz w:val="21"/>
          <w:szCs w:val="21"/>
          <w:highlight w:val="none"/>
          <w:u w:val="single"/>
          <w:lang w:val="en-US" w:eastAsia="zh-CN"/>
        </w:rPr>
        <w:t>也不代表</w:t>
      </w:r>
      <w:r>
        <w:rPr>
          <w:rFonts w:hint="eastAsia" w:ascii="楷体" w:hAnsi="楷体" w:eastAsia="楷体"/>
          <w:b/>
          <w:color w:val="auto"/>
          <w:sz w:val="21"/>
          <w:szCs w:val="21"/>
          <w:highlight w:val="none"/>
          <w:u w:val="single"/>
        </w:rPr>
        <w:t>以上所有情形或某一情形一定会发生，或管理人认为发生的可能性很大。投资者获得的最终收益以产品实际运作表现及管理人实际支付为准。</w:t>
      </w:r>
    </w:p>
    <w:p>
      <w:pPr>
        <w:keepNext w:val="0"/>
        <w:keepLines w:val="0"/>
        <w:pageBreakBefore w:val="0"/>
        <w:numPr>
          <w:ilvl w:val="0"/>
          <w:numId w:val="2"/>
        </w:numPr>
        <w:tabs>
          <w:tab w:val="left" w:pos="1134"/>
        </w:tabs>
        <w:bidi w:val="0"/>
        <w:spacing w:line="240" w:lineRule="auto"/>
        <w:ind w:left="0" w:firstLine="422"/>
        <w:outlineLvl w:val="1"/>
        <w:rPr>
          <w:rFonts w:hint="eastAsia" w:ascii="楷体" w:hAnsi="楷体" w:eastAsia="楷体" w:cs="楷体"/>
          <w:b/>
          <w:color w:val="auto"/>
          <w:sz w:val="21"/>
          <w:szCs w:val="21"/>
          <w:highlight w:val="none"/>
        </w:rPr>
      </w:pPr>
      <w:r>
        <w:rPr>
          <w:rFonts w:hint="eastAsia" w:ascii="楷体" w:hAnsi="楷体" w:eastAsia="楷体" w:cs="楷体"/>
          <w:b/>
          <w:color w:val="auto"/>
          <w:sz w:val="21"/>
          <w:szCs w:val="21"/>
          <w:highlight w:val="none"/>
        </w:rPr>
        <w:t>产品估值</w:t>
      </w:r>
    </w:p>
    <w:p>
      <w:pPr>
        <w:numPr>
          <w:ilvl w:val="0"/>
          <w:numId w:val="8"/>
        </w:numPr>
        <w:tabs>
          <w:tab w:val="left" w:pos="993"/>
        </w:tabs>
        <w:ind w:left="0" w:firstLine="420"/>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估值对象</w:t>
      </w:r>
    </w:p>
    <w:p>
      <w:pPr>
        <w:ind w:firstLine="420"/>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本产品所拥有的各类证券、银行存款、应收款项及其它资产及负债。</w:t>
      </w:r>
    </w:p>
    <w:p>
      <w:pPr>
        <w:numPr>
          <w:ilvl w:val="0"/>
          <w:numId w:val="8"/>
        </w:numPr>
        <w:tabs>
          <w:tab w:val="left" w:pos="993"/>
        </w:tabs>
        <w:ind w:left="0" w:firstLine="420"/>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lang w:val="en-US" w:eastAsia="zh-CN"/>
        </w:rPr>
        <w:t>估值目的和</w:t>
      </w:r>
      <w:r>
        <w:rPr>
          <w:rFonts w:hint="eastAsia" w:ascii="楷体" w:hAnsi="楷体" w:eastAsia="楷体" w:cs="楷体"/>
          <w:color w:val="auto"/>
          <w:sz w:val="21"/>
          <w:szCs w:val="21"/>
          <w:highlight w:val="none"/>
        </w:rPr>
        <w:t>估值</w:t>
      </w:r>
      <w:r>
        <w:rPr>
          <w:rFonts w:hint="eastAsia" w:ascii="楷体" w:hAnsi="楷体" w:eastAsia="楷体" w:cs="楷体"/>
          <w:color w:val="auto"/>
          <w:sz w:val="21"/>
          <w:szCs w:val="21"/>
          <w:highlight w:val="none"/>
          <w:lang w:val="en-US" w:eastAsia="zh-CN"/>
        </w:rPr>
        <w:t>原则</w:t>
      </w:r>
    </w:p>
    <w:p>
      <w:pPr>
        <w:numPr>
          <w:ilvl w:val="0"/>
          <w:numId w:val="0"/>
        </w:numPr>
        <w:tabs>
          <w:tab w:val="left" w:pos="728"/>
        </w:tabs>
        <w:ind w:left="0" w:firstLine="420"/>
        <w:rPr>
          <w:rFonts w:hint="default" w:ascii="楷体" w:hAnsi="楷体" w:eastAsia="楷体" w:cs="楷体"/>
          <w:color w:val="auto"/>
          <w:sz w:val="21"/>
          <w:szCs w:val="21"/>
          <w:highlight w:val="none"/>
          <w:lang w:val="en-US" w:eastAsia="zh-CN"/>
        </w:rPr>
      </w:pPr>
      <w:r>
        <w:rPr>
          <w:rFonts w:hint="eastAsia" w:ascii="楷体" w:hAnsi="楷体" w:eastAsia="楷体" w:cs="楷体"/>
          <w:color w:val="auto"/>
          <w:sz w:val="21"/>
          <w:szCs w:val="21"/>
          <w:highlight w:val="none"/>
        </w:rPr>
        <w:t>本产品资产估值的</w:t>
      </w:r>
      <w:r>
        <w:rPr>
          <w:rFonts w:hint="eastAsia" w:ascii="楷体" w:hAnsi="楷体" w:eastAsia="楷体" w:cs="楷体"/>
          <w:color w:val="auto"/>
          <w:sz w:val="21"/>
          <w:szCs w:val="21"/>
          <w:highlight w:val="none"/>
          <w:lang w:val="en-US" w:eastAsia="zh-CN"/>
        </w:rPr>
        <w:t>目的</w:t>
      </w:r>
      <w:r>
        <w:rPr>
          <w:rFonts w:hint="eastAsia" w:ascii="楷体" w:hAnsi="楷体" w:eastAsia="楷体" w:cs="楷体"/>
          <w:color w:val="auto"/>
          <w:sz w:val="21"/>
          <w:szCs w:val="21"/>
          <w:highlight w:val="none"/>
        </w:rPr>
        <w:t>是客观、准确</w:t>
      </w:r>
      <w:r>
        <w:rPr>
          <w:rFonts w:hint="eastAsia" w:ascii="楷体" w:hAnsi="楷体" w:eastAsia="楷体" w:cs="楷体"/>
          <w:color w:val="auto"/>
          <w:sz w:val="21"/>
          <w:szCs w:val="21"/>
          <w:highlight w:val="none"/>
          <w:lang w:val="en-US" w:eastAsia="zh-CN"/>
        </w:rPr>
        <w:t>地</w:t>
      </w:r>
      <w:r>
        <w:rPr>
          <w:rFonts w:hint="eastAsia" w:ascii="楷体" w:hAnsi="楷体" w:eastAsia="楷体" w:cs="楷体"/>
          <w:color w:val="auto"/>
          <w:sz w:val="21"/>
          <w:szCs w:val="21"/>
          <w:highlight w:val="none"/>
        </w:rPr>
        <w:t>反映资产净值，确定理财产品资产净值，并为理财产品的</w:t>
      </w:r>
      <w:r>
        <w:rPr>
          <w:rFonts w:hint="eastAsia" w:ascii="楷体" w:hAnsi="楷体" w:eastAsia="楷体" w:cs="楷体"/>
          <w:color w:val="auto"/>
          <w:sz w:val="21"/>
          <w:szCs w:val="21"/>
          <w:highlight w:val="none"/>
          <w:lang w:val="en-US" w:eastAsia="zh-CN"/>
        </w:rPr>
        <w:t>申购、赎回和</w:t>
      </w:r>
      <w:r>
        <w:rPr>
          <w:rFonts w:hint="eastAsia" w:ascii="楷体" w:hAnsi="楷体" w:eastAsia="楷体" w:cs="楷体"/>
          <w:color w:val="auto"/>
          <w:sz w:val="21"/>
          <w:szCs w:val="21"/>
          <w:highlight w:val="none"/>
        </w:rPr>
        <w:t>兑付提供计价依据。</w:t>
      </w:r>
      <w:r>
        <w:rPr>
          <w:rFonts w:hint="eastAsia" w:ascii="楷体" w:hAnsi="楷体" w:eastAsia="楷体" w:cs="楷体"/>
          <w:color w:val="auto"/>
          <w:sz w:val="21"/>
          <w:szCs w:val="21"/>
          <w:highlight w:val="none"/>
          <w:lang w:val="en-US" w:eastAsia="zh-CN"/>
        </w:rPr>
        <w:t>估值中坚持公允价值计量原则。金融资产的公允价值确定方法应与理财产品的类型相匹配。</w:t>
      </w:r>
    </w:p>
    <w:p>
      <w:pPr>
        <w:numPr>
          <w:ilvl w:val="0"/>
          <w:numId w:val="8"/>
        </w:numPr>
        <w:tabs>
          <w:tab w:val="left" w:pos="993"/>
        </w:tabs>
        <w:ind w:left="0" w:firstLine="420"/>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估值方法</w:t>
      </w:r>
    </w:p>
    <w:p>
      <w:pPr>
        <w:ind w:firstLine="420"/>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1.存款类资产、货币市场工具：以本金列示，逐日计提利息。</w:t>
      </w:r>
    </w:p>
    <w:p>
      <w:pPr>
        <w:ind w:firstLine="420"/>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2.货币市场基金：按公允价值进行估值，以估值截止时间点能够取得的最新每万份收益进行估值。</w:t>
      </w:r>
    </w:p>
    <w:p>
      <w:pPr>
        <w:ind w:firstLine="420"/>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3.债券类资产：按公允价值进行估值，采用市价、监管认可的第三方估值机构提供的估值价格进行估值。对于以收取合同现金流量为目的并持有到期的债券，符合企业会计准则及监管规定，分类为“以摊余成本计量的金融资产”的，按摊余成本法进行估值，并按照会计准则采用合理减值计量模型或第三方减值计量结果进行预期信用损失的减值计提。计提减值不等同于金融资产已发生损失，仅为对未来风险的审慎预期。</w:t>
      </w:r>
    </w:p>
    <w:p>
      <w:pPr>
        <w:ind w:firstLine="420"/>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4.债权类资产：按公允价值进行估值。对于以收取合同现金流量为目的并持有到期的债权类资产，金融资产暂不具备活跃交易市场，或者在活跃市场中没有报价，且符合会计准则及监管规定，按摊余成本法进行估值，并按照会计准则采用合理减值计量模型或第三方减值计量结果进行预期信用损失的减值计提。计提减值不等同于金融资产已发生损失，仅为对未来风险的审慎预期。</w:t>
      </w:r>
    </w:p>
    <w:p>
      <w:pPr>
        <w:ind w:firstLine="420"/>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5.权益类资产：按公允价值进行估值，采用市价、监管认可的第三方估值机构提供的估值价格进行估值。</w:t>
      </w:r>
    </w:p>
    <w:p>
      <w:pPr>
        <w:ind w:firstLine="420"/>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6.证券、基金、保险等资产管理计划和信托计划等资产（不含货币市场基金）：按公允价值进行估值，上述各类资管产品关于同一投资品种的估值原则、政策、技术和方法等应与理财产品管理人保持一致，理财产品管理人将按照会计准则要求定期进行评估。</w:t>
      </w:r>
    </w:p>
    <w:p>
      <w:pPr>
        <w:ind w:firstLine="420"/>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7.其他资产：按公允价值进行估值。</w:t>
      </w:r>
    </w:p>
    <w:p>
      <w:pPr>
        <w:ind w:firstLine="420"/>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如有新增事项或变更事项，按国家法律法规及监管最新规定执行。</w:t>
      </w:r>
    </w:p>
    <w:p>
      <w:pPr>
        <w:numPr>
          <w:ilvl w:val="0"/>
          <w:numId w:val="8"/>
        </w:numPr>
        <w:tabs>
          <w:tab w:val="left" w:pos="993"/>
        </w:tabs>
        <w:ind w:left="0" w:firstLine="420"/>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估值错误的处理</w:t>
      </w:r>
    </w:p>
    <w:p>
      <w:pPr>
        <w:ind w:firstLine="420"/>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产品管理人和产品托管人将采取必要、适当合理的措施确保产品资产估值的准确性、及时性。当产品单位净值出现错误时，产品管理人应当立即予以纠正，并采取合理的措施防止损失进一步扩大。由于证券交易所、期货交易所、第三方估值机构、登记机构等发送数据错误等非理财产品管理人和托管人原因，或由于其它不可抗力原因，产品管理人和产品托管人虽然已采取必要、适当、合理的措施进行检查，但是未能发现该错误的，由此造成的产品估值错误，产品管理人和产品托管人免除赔偿责任。但产品管理人和产品托管人应当积极采取必要的措施减轻或消除由此造成的影响。</w:t>
      </w:r>
    </w:p>
    <w:p>
      <w:pPr>
        <w:numPr>
          <w:ilvl w:val="0"/>
          <w:numId w:val="8"/>
        </w:numPr>
        <w:tabs>
          <w:tab w:val="left" w:pos="993"/>
        </w:tabs>
        <w:ind w:left="0" w:firstLine="420"/>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暂停估值</w:t>
      </w:r>
    </w:p>
    <w:p>
      <w:pPr>
        <w:keepNext w:val="0"/>
        <w:keepLines w:val="0"/>
        <w:pageBreakBefore w:val="0"/>
        <w:bidi w:val="0"/>
        <w:spacing w:line="240" w:lineRule="auto"/>
        <w:ind w:firstLine="420"/>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理财产品投资所涉及的证券交易所遇法定节假日或其他原因暂停营业时，或因任何不可抗力致使无法准确评估资产价值时，可暂停估值。但估值条件恢复时，将按规定完成估值工作。</w:t>
      </w:r>
    </w:p>
    <w:p>
      <w:pPr>
        <w:numPr>
          <w:ilvl w:val="0"/>
          <w:numId w:val="8"/>
        </w:numPr>
        <w:tabs>
          <w:tab w:val="left" w:pos="993"/>
        </w:tabs>
        <w:ind w:left="0" w:firstLine="420"/>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lang w:val="en-US" w:eastAsia="zh-CN"/>
        </w:rPr>
        <w:t>产品单位净值的计算</w:t>
      </w:r>
    </w:p>
    <w:p>
      <w:pPr>
        <w:numPr>
          <w:ilvl w:val="0"/>
          <w:numId w:val="0"/>
        </w:numPr>
        <w:tabs>
          <w:tab w:val="left" w:pos="728"/>
        </w:tabs>
        <w:ind w:left="0" w:firstLine="420"/>
        <w:rPr>
          <w:rFonts w:hint="eastAsia" w:ascii="楷体" w:hAnsi="楷体" w:eastAsia="楷体" w:cs="楷体"/>
          <w:b/>
          <w:color w:val="auto"/>
          <w:sz w:val="21"/>
          <w:szCs w:val="21"/>
          <w:highlight w:val="none"/>
        </w:rPr>
      </w:pPr>
      <w:r>
        <w:rPr>
          <w:rFonts w:hint="eastAsia" w:ascii="楷体" w:hAnsi="楷体" w:eastAsia="楷体" w:cs="楷体"/>
          <w:color w:val="auto"/>
          <w:sz w:val="21"/>
          <w:szCs w:val="21"/>
          <w:highlight w:val="none"/>
          <w:lang w:val="en-US" w:eastAsia="zh-CN"/>
        </w:rPr>
        <w:t>产品单位</w:t>
      </w:r>
      <w:r>
        <w:rPr>
          <w:rFonts w:hint="eastAsia" w:ascii="楷体" w:hAnsi="楷体" w:eastAsia="楷体" w:cs="楷体"/>
          <w:color w:val="auto"/>
          <w:sz w:val="21"/>
          <w:szCs w:val="21"/>
          <w:highlight w:val="none"/>
        </w:rPr>
        <w:t>净值为提取相关费用后的理财产品份额净值，投资者按该</w:t>
      </w:r>
      <w:r>
        <w:rPr>
          <w:rFonts w:hint="eastAsia" w:ascii="楷体" w:hAnsi="楷体" w:eastAsia="楷体" w:cs="楷体"/>
          <w:color w:val="auto"/>
          <w:sz w:val="21"/>
          <w:szCs w:val="21"/>
          <w:highlight w:val="none"/>
          <w:lang w:val="en-US" w:eastAsia="zh-CN"/>
        </w:rPr>
        <w:t>单位</w:t>
      </w:r>
      <w:r>
        <w:rPr>
          <w:rFonts w:hint="eastAsia" w:ascii="楷体" w:hAnsi="楷体" w:eastAsia="楷体" w:cs="楷体"/>
          <w:color w:val="auto"/>
          <w:sz w:val="21"/>
          <w:szCs w:val="21"/>
          <w:highlight w:val="none"/>
        </w:rPr>
        <w:t>净值进行申购、赎回和到期/终止时的分配。本产品单位净值精确到小数点后6位，小数点</w:t>
      </w:r>
      <w:r>
        <w:rPr>
          <w:rFonts w:hint="eastAsia" w:ascii="楷体" w:hAnsi="楷体" w:eastAsia="楷体" w:cs="楷体"/>
          <w:color w:val="auto"/>
          <w:sz w:val="21"/>
          <w:szCs w:val="21"/>
          <w:highlight w:val="none"/>
          <w:lang w:val="en-US" w:eastAsia="zh-CN"/>
        </w:rPr>
        <w:t>6</w:t>
      </w:r>
      <w:r>
        <w:rPr>
          <w:rFonts w:hint="eastAsia" w:ascii="楷体" w:hAnsi="楷体" w:eastAsia="楷体" w:cs="楷体"/>
          <w:color w:val="auto"/>
          <w:sz w:val="21"/>
          <w:szCs w:val="21"/>
          <w:highlight w:val="none"/>
        </w:rPr>
        <w:t>位后截位。</w:t>
      </w:r>
    </w:p>
    <w:p>
      <w:pPr>
        <w:keepNext w:val="0"/>
        <w:keepLines w:val="0"/>
        <w:pageBreakBefore w:val="0"/>
        <w:numPr>
          <w:ilvl w:val="0"/>
          <w:numId w:val="2"/>
        </w:numPr>
        <w:tabs>
          <w:tab w:val="left" w:pos="1134"/>
        </w:tabs>
        <w:bidi w:val="0"/>
        <w:spacing w:line="240" w:lineRule="auto"/>
        <w:ind w:left="0" w:firstLine="422"/>
        <w:outlineLvl w:val="1"/>
        <w:rPr>
          <w:rFonts w:hint="eastAsia" w:ascii="楷体" w:hAnsi="楷体" w:eastAsia="楷体" w:cs="楷体"/>
          <w:b/>
          <w:color w:val="auto"/>
          <w:sz w:val="21"/>
          <w:szCs w:val="21"/>
          <w:highlight w:val="none"/>
        </w:rPr>
      </w:pPr>
      <w:r>
        <w:rPr>
          <w:rFonts w:hint="eastAsia" w:ascii="楷体" w:hAnsi="楷体" w:eastAsia="楷体" w:cs="楷体"/>
          <w:b/>
          <w:color w:val="auto"/>
          <w:sz w:val="21"/>
          <w:szCs w:val="21"/>
          <w:highlight w:val="none"/>
          <w:lang w:val="en-US" w:eastAsia="zh-CN"/>
        </w:rPr>
        <w:t>风险提示</w:t>
      </w:r>
    </w:p>
    <w:p>
      <w:pPr>
        <w:keepNext w:val="0"/>
        <w:keepLines w:val="0"/>
        <w:pageBreakBefore w:val="0"/>
        <w:bidi w:val="0"/>
        <w:spacing w:line="240" w:lineRule="auto"/>
        <w:ind w:firstLine="422"/>
        <w:rPr>
          <w:rFonts w:hint="eastAsia" w:ascii="楷体" w:hAnsi="楷体" w:eastAsia="楷体" w:cs="楷体"/>
          <w:b/>
          <w:color w:val="auto"/>
          <w:sz w:val="21"/>
          <w:szCs w:val="21"/>
          <w:highlight w:val="none"/>
        </w:rPr>
      </w:pPr>
      <w:r>
        <w:rPr>
          <w:rFonts w:hint="eastAsia" w:ascii="楷体" w:hAnsi="楷体" w:eastAsia="楷体" w:cs="楷体"/>
          <w:b/>
          <w:color w:val="auto"/>
          <w:sz w:val="21"/>
          <w:szCs w:val="21"/>
          <w:highlight w:val="none"/>
          <w:u w:val="single"/>
        </w:rPr>
        <w:t>本理财产品为非保本浮动收益净值型理财产品，根据法律法规及监管要求的有关规定，特向投资者提示如下：与银行存款比较，本理财产品存在投资风险，投资者的本金和收益可能会因市场变动等原因而蒙受损失，投资者应充分认识投资风险，谨慎投资。本理财产品可能面临的风险主要包括</w:t>
      </w:r>
      <w:r>
        <w:rPr>
          <w:rFonts w:hint="eastAsia" w:ascii="楷体" w:hAnsi="楷体" w:eastAsia="楷体" w:cs="楷体"/>
          <w:b/>
          <w:color w:val="auto"/>
          <w:sz w:val="21"/>
          <w:szCs w:val="21"/>
          <w:highlight w:val="none"/>
          <w:u w:val="single"/>
          <w:lang w:eastAsia="zh-CN"/>
        </w:rPr>
        <w:t>但不限于</w:t>
      </w:r>
      <w:r>
        <w:rPr>
          <w:rFonts w:hint="eastAsia" w:ascii="楷体" w:hAnsi="楷体" w:eastAsia="楷体" w:cs="楷体"/>
          <w:b/>
          <w:color w:val="auto"/>
          <w:sz w:val="21"/>
          <w:szCs w:val="21"/>
          <w:highlight w:val="none"/>
          <w:u w:val="single"/>
        </w:rPr>
        <w:t>：</w:t>
      </w:r>
    </w:p>
    <w:p>
      <w:pPr>
        <w:keepNext w:val="0"/>
        <w:keepLines w:val="0"/>
        <w:pageBreakBefore w:val="0"/>
        <w:numPr>
          <w:ilvl w:val="0"/>
          <w:numId w:val="9"/>
        </w:numPr>
        <w:tabs>
          <w:tab w:val="left" w:pos="993"/>
        </w:tabs>
        <w:bidi w:val="0"/>
        <w:spacing w:line="310" w:lineRule="exact"/>
        <w:ind w:left="0" w:firstLine="422"/>
        <w:rPr>
          <w:rFonts w:hint="eastAsia" w:ascii="楷体" w:hAnsi="楷体" w:eastAsia="楷体"/>
          <w:color w:val="auto"/>
          <w:sz w:val="21"/>
          <w:szCs w:val="21"/>
          <w:highlight w:val="none"/>
        </w:rPr>
      </w:pPr>
      <w:r>
        <w:rPr>
          <w:rFonts w:hint="eastAsia" w:ascii="楷体" w:hAnsi="楷体" w:eastAsia="楷体"/>
          <w:b/>
          <w:color w:val="auto"/>
          <w:sz w:val="21"/>
          <w:szCs w:val="21"/>
          <w:highlight w:val="none"/>
        </w:rPr>
        <w:t>政策风险：</w:t>
      </w:r>
      <w:r>
        <w:rPr>
          <w:rFonts w:hint="eastAsia" w:ascii="楷体" w:hAnsi="楷体" w:eastAsia="楷体"/>
          <w:color w:val="auto"/>
          <w:sz w:val="21"/>
          <w:szCs w:val="21"/>
          <w:highlight w:val="none"/>
        </w:rPr>
        <w:t>本理财产品是根据当前相关法律法规、监管规定和国家政策设计的。如国家宏观政策以及市场相关法律法规、监管规定发生变化，可能影响理财产品的发行、交易、投资、兑付等工作流程的正常进行，从而影响本理财产品的投资运作，则投资者可能面临本金和收益遭受部分甚至全部损失的风险。</w:t>
      </w:r>
    </w:p>
    <w:p>
      <w:pPr>
        <w:keepNext w:val="0"/>
        <w:keepLines w:val="0"/>
        <w:pageBreakBefore w:val="0"/>
        <w:numPr>
          <w:ilvl w:val="0"/>
          <w:numId w:val="9"/>
        </w:numPr>
        <w:tabs>
          <w:tab w:val="left" w:pos="993"/>
        </w:tabs>
        <w:bidi w:val="0"/>
        <w:spacing w:line="310" w:lineRule="exact"/>
        <w:ind w:left="0" w:firstLine="422"/>
        <w:rPr>
          <w:rFonts w:hint="eastAsia" w:ascii="楷体" w:hAnsi="楷体" w:eastAsia="楷体"/>
          <w:b/>
          <w:color w:val="auto"/>
          <w:sz w:val="21"/>
          <w:szCs w:val="21"/>
          <w:highlight w:val="none"/>
        </w:rPr>
      </w:pPr>
      <w:r>
        <w:rPr>
          <w:rFonts w:hint="eastAsia" w:ascii="楷体" w:hAnsi="楷体" w:eastAsia="楷体"/>
          <w:b/>
          <w:color w:val="auto"/>
          <w:sz w:val="21"/>
          <w:szCs w:val="21"/>
          <w:highlight w:val="none"/>
        </w:rPr>
        <w:t>信用风险：</w:t>
      </w:r>
      <w:r>
        <w:rPr>
          <w:rFonts w:hint="eastAsia" w:ascii="楷体" w:hAnsi="楷体" w:eastAsia="楷体"/>
          <w:color w:val="auto"/>
          <w:sz w:val="21"/>
          <w:szCs w:val="21"/>
          <w:highlight w:val="none"/>
        </w:rPr>
        <w:t>本理财产品</w:t>
      </w:r>
      <w:r>
        <w:rPr>
          <w:rFonts w:hint="eastAsia" w:ascii="楷体" w:hAnsi="楷体" w:eastAsia="楷体"/>
          <w:color w:val="auto"/>
          <w:sz w:val="21"/>
          <w:szCs w:val="21"/>
          <w:highlight w:val="none"/>
          <w:lang w:val="en-US" w:eastAsia="zh-CN"/>
        </w:rPr>
        <w:t>投资于各类金融</w:t>
      </w:r>
      <w:r>
        <w:rPr>
          <w:rFonts w:hint="eastAsia" w:ascii="楷体" w:hAnsi="楷体" w:eastAsia="楷体"/>
          <w:color w:val="auto"/>
          <w:sz w:val="21"/>
          <w:szCs w:val="21"/>
          <w:highlight w:val="none"/>
        </w:rPr>
        <w:t>资产，因此有可能由于发行主体或交易对手信用状况恶化导致交易违约，致使本理财产品到期实际收益不足业绩比较基准，该种情况下，</w:t>
      </w:r>
      <w:r>
        <w:rPr>
          <w:rFonts w:hint="eastAsia" w:ascii="楷体" w:hAnsi="楷体" w:eastAsia="楷体"/>
          <w:color w:val="auto"/>
          <w:sz w:val="21"/>
          <w:szCs w:val="21"/>
          <w:highlight w:val="none"/>
          <w:lang w:val="en-US" w:eastAsia="zh-CN"/>
        </w:rPr>
        <w:t>管理人</w:t>
      </w:r>
      <w:r>
        <w:rPr>
          <w:rFonts w:hint="eastAsia" w:ascii="楷体" w:hAnsi="楷体" w:eastAsia="楷体"/>
          <w:color w:val="auto"/>
          <w:sz w:val="21"/>
          <w:szCs w:val="21"/>
          <w:highlight w:val="none"/>
        </w:rPr>
        <w:t>将按照投资实际收益情况，并以资产变现实际收到的资金为限支付投资</w:t>
      </w:r>
      <w:r>
        <w:rPr>
          <w:rFonts w:hint="eastAsia" w:ascii="楷体" w:hAnsi="楷体" w:eastAsia="楷体"/>
          <w:color w:val="auto"/>
          <w:sz w:val="21"/>
          <w:szCs w:val="21"/>
          <w:highlight w:val="none"/>
          <w:lang w:val="en-US" w:eastAsia="zh-CN"/>
        </w:rPr>
        <w:t>者</w:t>
      </w:r>
      <w:r>
        <w:rPr>
          <w:rFonts w:hint="eastAsia" w:ascii="楷体" w:hAnsi="楷体" w:eastAsia="楷体"/>
          <w:color w:val="auto"/>
          <w:sz w:val="21"/>
          <w:szCs w:val="21"/>
          <w:highlight w:val="none"/>
        </w:rPr>
        <w:t>收益，投资</w:t>
      </w:r>
      <w:r>
        <w:rPr>
          <w:rFonts w:hint="eastAsia" w:ascii="楷体" w:hAnsi="楷体" w:eastAsia="楷体"/>
          <w:color w:val="auto"/>
          <w:sz w:val="21"/>
          <w:szCs w:val="21"/>
          <w:highlight w:val="none"/>
          <w:lang w:val="en-US" w:eastAsia="zh-CN"/>
        </w:rPr>
        <w:t>者</w:t>
      </w:r>
      <w:r>
        <w:rPr>
          <w:rFonts w:hint="eastAsia" w:ascii="楷体" w:hAnsi="楷体" w:eastAsia="楷体"/>
          <w:color w:val="auto"/>
          <w:sz w:val="21"/>
          <w:szCs w:val="21"/>
          <w:highlight w:val="none"/>
        </w:rPr>
        <w:t>将自行承担由此而导致本金和收益遭受部分甚至全部损失的风险。</w:t>
      </w:r>
    </w:p>
    <w:p>
      <w:pPr>
        <w:keepNext w:val="0"/>
        <w:keepLines w:val="0"/>
        <w:pageBreakBefore w:val="0"/>
        <w:numPr>
          <w:ilvl w:val="0"/>
          <w:numId w:val="9"/>
        </w:numPr>
        <w:tabs>
          <w:tab w:val="left" w:pos="993"/>
        </w:tabs>
        <w:bidi w:val="0"/>
        <w:spacing w:line="310" w:lineRule="exact"/>
        <w:ind w:left="0" w:firstLine="422"/>
        <w:rPr>
          <w:rFonts w:hint="eastAsia" w:ascii="楷体" w:hAnsi="楷体" w:eastAsia="楷体"/>
          <w:color w:val="auto"/>
          <w:sz w:val="21"/>
          <w:szCs w:val="21"/>
          <w:highlight w:val="none"/>
        </w:rPr>
      </w:pPr>
      <w:r>
        <w:rPr>
          <w:rFonts w:hint="eastAsia" w:ascii="楷体" w:hAnsi="楷体" w:eastAsia="楷体"/>
          <w:b/>
          <w:color w:val="auto"/>
          <w:sz w:val="21"/>
          <w:szCs w:val="21"/>
          <w:highlight w:val="none"/>
        </w:rPr>
        <w:t>市场风险：</w:t>
      </w:r>
      <w:r>
        <w:rPr>
          <w:rFonts w:hint="eastAsia" w:ascii="楷体" w:hAnsi="楷体" w:eastAsia="楷体"/>
          <w:color w:val="auto"/>
          <w:sz w:val="21"/>
          <w:szCs w:val="21"/>
          <w:highlight w:val="none"/>
        </w:rPr>
        <w:t>本理财产品投资</w:t>
      </w:r>
      <w:r>
        <w:rPr>
          <w:rFonts w:hint="eastAsia" w:ascii="楷体" w:hAnsi="楷体" w:eastAsia="楷体"/>
          <w:color w:val="auto"/>
          <w:sz w:val="21"/>
          <w:szCs w:val="21"/>
          <w:highlight w:val="none"/>
          <w:lang w:val="en-US" w:eastAsia="zh-CN"/>
        </w:rPr>
        <w:t>的金融</w:t>
      </w:r>
      <w:r>
        <w:rPr>
          <w:rFonts w:hint="eastAsia" w:ascii="楷体" w:hAnsi="楷体" w:eastAsia="楷体"/>
          <w:color w:val="auto"/>
          <w:sz w:val="21"/>
          <w:szCs w:val="21"/>
          <w:highlight w:val="none"/>
        </w:rPr>
        <w:t>资产的价格受到经济因素、政治因素、投资心理和交易制度等各种因素的影响，可能导致本理财产品资产收益水平变化，投资者可能面临本金和收益遭受部分甚至全部损失的风险。</w:t>
      </w:r>
    </w:p>
    <w:p>
      <w:pPr>
        <w:keepNext w:val="0"/>
        <w:keepLines w:val="0"/>
        <w:pageBreakBefore w:val="0"/>
        <w:numPr>
          <w:ilvl w:val="0"/>
          <w:numId w:val="9"/>
        </w:numPr>
        <w:tabs>
          <w:tab w:val="left" w:pos="993"/>
        </w:tabs>
        <w:bidi w:val="0"/>
        <w:spacing w:line="310" w:lineRule="exact"/>
        <w:ind w:left="0" w:firstLine="422"/>
        <w:rPr>
          <w:rFonts w:hint="eastAsia" w:ascii="楷体" w:hAnsi="楷体" w:eastAsia="楷体"/>
          <w:b/>
          <w:color w:val="auto"/>
          <w:sz w:val="21"/>
          <w:szCs w:val="21"/>
          <w:highlight w:val="none"/>
        </w:rPr>
      </w:pPr>
      <w:r>
        <w:rPr>
          <w:rFonts w:hint="eastAsia" w:ascii="楷体" w:hAnsi="楷体" w:eastAsia="楷体"/>
          <w:b/>
          <w:color w:val="auto"/>
          <w:sz w:val="21"/>
          <w:szCs w:val="21"/>
          <w:highlight w:val="none"/>
        </w:rPr>
        <w:t>流动性风险：</w:t>
      </w:r>
      <w:r>
        <w:rPr>
          <w:rFonts w:hint="eastAsia" w:ascii="楷体" w:hAnsi="楷体" w:eastAsia="楷体"/>
          <w:b w:val="0"/>
          <w:bCs/>
          <w:color w:val="auto"/>
          <w:sz w:val="21"/>
          <w:szCs w:val="21"/>
          <w:highlight w:val="none"/>
        </w:rPr>
        <w:t>在特定市场环境下，理财产品所投资的部分市场或资产可能出现流动性较差的情况，导致理财产品无法通过变现资产等途径以合理成本及时获得充足资金，无法</w:t>
      </w:r>
      <w:r>
        <w:rPr>
          <w:rFonts w:hint="eastAsia" w:ascii="楷体" w:hAnsi="楷体" w:eastAsia="楷体"/>
          <w:b w:val="0"/>
          <w:bCs/>
          <w:color w:val="auto"/>
          <w:sz w:val="21"/>
          <w:szCs w:val="21"/>
          <w:highlight w:val="none"/>
          <w:lang w:val="en-US" w:eastAsia="zh-CN"/>
        </w:rPr>
        <w:t>满足本理财产品履行相关</w:t>
      </w:r>
      <w:r>
        <w:rPr>
          <w:rFonts w:hint="eastAsia" w:ascii="楷体" w:hAnsi="楷体" w:eastAsia="楷体"/>
          <w:b w:val="0"/>
          <w:bCs/>
          <w:color w:val="auto"/>
          <w:sz w:val="21"/>
          <w:szCs w:val="21"/>
          <w:highlight w:val="none"/>
        </w:rPr>
        <w:t>支付义务，带来流动性风险。</w:t>
      </w:r>
    </w:p>
    <w:p>
      <w:pPr>
        <w:keepNext w:val="0"/>
        <w:keepLines w:val="0"/>
        <w:pageBreakBefore w:val="0"/>
        <w:numPr>
          <w:ilvl w:val="0"/>
          <w:numId w:val="9"/>
        </w:numPr>
        <w:tabs>
          <w:tab w:val="left" w:pos="993"/>
        </w:tabs>
        <w:bidi w:val="0"/>
        <w:spacing w:line="310" w:lineRule="exact"/>
        <w:ind w:left="0" w:firstLine="422"/>
        <w:rPr>
          <w:rFonts w:hint="eastAsia" w:ascii="楷体" w:hAnsi="楷体" w:eastAsia="楷体"/>
          <w:color w:val="auto"/>
          <w:sz w:val="21"/>
          <w:szCs w:val="21"/>
          <w:highlight w:val="none"/>
        </w:rPr>
      </w:pPr>
      <w:r>
        <w:rPr>
          <w:rFonts w:hint="eastAsia" w:ascii="楷体" w:hAnsi="楷体" w:eastAsia="楷体"/>
          <w:b/>
          <w:color w:val="auto"/>
          <w:sz w:val="21"/>
          <w:szCs w:val="21"/>
          <w:highlight w:val="none"/>
        </w:rPr>
        <w:t>管理风险：</w:t>
      </w:r>
      <w:r>
        <w:rPr>
          <w:rFonts w:hint="eastAsia" w:ascii="楷体" w:hAnsi="楷体" w:eastAsia="楷体"/>
          <w:color w:val="auto"/>
          <w:sz w:val="21"/>
          <w:szCs w:val="21"/>
          <w:highlight w:val="none"/>
        </w:rPr>
        <w:t>在本理财产品运作过程中，投资管理各方受经验、技能、执行力等综合因素的限制，可能会对本理财产品的运作和管理造成一定影响，投资者可能面临本金和收益遭受部分甚至全部损失的风险。</w:t>
      </w:r>
    </w:p>
    <w:p>
      <w:pPr>
        <w:keepNext w:val="0"/>
        <w:keepLines w:val="0"/>
        <w:pageBreakBefore w:val="0"/>
        <w:numPr>
          <w:ilvl w:val="0"/>
          <w:numId w:val="9"/>
        </w:numPr>
        <w:tabs>
          <w:tab w:val="left" w:pos="993"/>
        </w:tabs>
        <w:bidi w:val="0"/>
        <w:spacing w:line="310" w:lineRule="exact"/>
        <w:ind w:left="0" w:firstLine="422"/>
        <w:rPr>
          <w:rFonts w:hint="eastAsia" w:ascii="楷体" w:hAnsi="楷体" w:eastAsia="楷体"/>
          <w:color w:val="auto"/>
          <w:sz w:val="21"/>
          <w:szCs w:val="21"/>
          <w:highlight w:val="none"/>
        </w:rPr>
      </w:pPr>
      <w:r>
        <w:rPr>
          <w:rFonts w:hint="eastAsia" w:ascii="楷体" w:hAnsi="楷体" w:eastAsia="楷体"/>
          <w:b/>
          <w:color w:val="auto"/>
          <w:sz w:val="21"/>
          <w:szCs w:val="21"/>
          <w:highlight w:val="none"/>
        </w:rPr>
        <w:t>操作风险：</w:t>
      </w:r>
      <w:r>
        <w:rPr>
          <w:rFonts w:hint="eastAsia" w:ascii="楷体" w:hAnsi="楷体" w:eastAsia="楷体"/>
          <w:color w:val="auto"/>
          <w:sz w:val="21"/>
          <w:szCs w:val="21"/>
          <w:highlight w:val="none"/>
        </w:rPr>
        <w:t>如本理财产品管理人由于内部作业、人员管理、系统操作及事务处理不当或失误等，则投资者可能面临本金和收益遭受部分甚至全部损失的风险。</w:t>
      </w:r>
    </w:p>
    <w:p>
      <w:pPr>
        <w:keepNext w:val="0"/>
        <w:keepLines w:val="0"/>
        <w:pageBreakBefore w:val="0"/>
        <w:numPr>
          <w:ilvl w:val="0"/>
          <w:numId w:val="9"/>
        </w:numPr>
        <w:tabs>
          <w:tab w:val="left" w:pos="993"/>
        </w:tabs>
        <w:bidi w:val="0"/>
        <w:spacing w:line="310" w:lineRule="exact"/>
        <w:ind w:left="0" w:firstLine="422"/>
        <w:rPr>
          <w:rFonts w:hint="eastAsia" w:ascii="楷体" w:hAnsi="楷体" w:eastAsia="楷体"/>
          <w:color w:val="auto"/>
          <w:sz w:val="21"/>
          <w:szCs w:val="21"/>
          <w:highlight w:val="none"/>
        </w:rPr>
      </w:pPr>
      <w:r>
        <w:rPr>
          <w:rFonts w:hint="eastAsia" w:ascii="楷体" w:hAnsi="楷体" w:eastAsia="楷体"/>
          <w:b/>
          <w:bCs/>
          <w:color w:val="auto"/>
          <w:sz w:val="21"/>
          <w:szCs w:val="21"/>
          <w:highlight w:val="none"/>
          <w:lang w:val="en-US" w:eastAsia="zh-CN"/>
        </w:rPr>
        <w:t>理财产品不成立风险：</w:t>
      </w:r>
      <w:r>
        <w:rPr>
          <w:rFonts w:hint="eastAsia" w:ascii="楷体" w:hAnsi="楷体" w:eastAsia="楷体"/>
          <w:color w:val="auto"/>
          <w:sz w:val="21"/>
          <w:szCs w:val="21"/>
          <w:highlight w:val="none"/>
          <w:lang w:val="en-US" w:eastAsia="zh-CN"/>
        </w:rPr>
        <w:t>募集期届满时，</w:t>
      </w:r>
      <w:r>
        <w:rPr>
          <w:rFonts w:hint="eastAsia" w:ascii="楷体" w:hAnsi="楷体" w:eastAsia="楷体" w:cs="楷体"/>
          <w:color w:val="auto"/>
          <w:spacing w:val="-2"/>
          <w:sz w:val="21"/>
          <w:szCs w:val="21"/>
          <w:highlight w:val="none"/>
        </w:rPr>
        <w:t>若产品认购规模未达到最低发行规模，或新的法律、法规或监管政策导致本产品无法合法合规运行，或出现其他导致影响产品成立</w:t>
      </w:r>
      <w:r>
        <w:rPr>
          <w:rFonts w:hint="eastAsia" w:ascii="楷体" w:hAnsi="楷体" w:eastAsia="楷体" w:cs="楷体"/>
          <w:color w:val="auto"/>
          <w:spacing w:val="-2"/>
          <w:sz w:val="21"/>
          <w:szCs w:val="21"/>
          <w:highlight w:val="none"/>
          <w:lang w:val="en-US" w:eastAsia="zh-CN"/>
        </w:rPr>
        <w:t>的</w:t>
      </w:r>
      <w:r>
        <w:rPr>
          <w:rFonts w:hint="eastAsia" w:ascii="楷体" w:hAnsi="楷体" w:eastAsia="楷体" w:cs="楷体"/>
          <w:color w:val="auto"/>
          <w:spacing w:val="-2"/>
          <w:sz w:val="21"/>
          <w:szCs w:val="21"/>
          <w:highlight w:val="none"/>
        </w:rPr>
        <w:t>不可抗力因素，</w:t>
      </w:r>
      <w:r>
        <w:rPr>
          <w:rFonts w:hint="eastAsia" w:ascii="楷体" w:hAnsi="楷体" w:eastAsia="楷体"/>
          <w:color w:val="auto"/>
          <w:sz w:val="21"/>
          <w:szCs w:val="21"/>
          <w:highlight w:val="none"/>
          <w:lang w:val="en-US" w:eastAsia="zh-CN"/>
        </w:rPr>
        <w:t>经管理人谨慎合理判断难以按照本理财产品说明书的规定向投资者提供本理财服务的，管理人有权宣布（或通过销售机构通知）理财产品不成立且不承担任何违约责任，投资者将面临再投资风险。</w:t>
      </w:r>
    </w:p>
    <w:p>
      <w:pPr>
        <w:keepNext w:val="0"/>
        <w:keepLines w:val="0"/>
        <w:pageBreakBefore w:val="0"/>
        <w:numPr>
          <w:ilvl w:val="0"/>
          <w:numId w:val="9"/>
        </w:numPr>
        <w:tabs>
          <w:tab w:val="left" w:pos="993"/>
        </w:tabs>
        <w:bidi w:val="0"/>
        <w:spacing w:line="310" w:lineRule="exact"/>
        <w:ind w:left="0" w:firstLine="422"/>
        <w:rPr>
          <w:rFonts w:hint="eastAsia" w:ascii="楷体" w:hAnsi="楷体" w:eastAsia="楷体"/>
          <w:color w:val="auto"/>
          <w:sz w:val="21"/>
          <w:szCs w:val="21"/>
          <w:highlight w:val="none"/>
        </w:rPr>
      </w:pPr>
      <w:r>
        <w:rPr>
          <w:rFonts w:hint="eastAsia" w:ascii="楷体" w:hAnsi="楷体" w:eastAsia="楷体"/>
          <w:b/>
          <w:color w:val="auto"/>
          <w:sz w:val="21"/>
          <w:szCs w:val="21"/>
          <w:highlight w:val="none"/>
        </w:rPr>
        <w:t>延期兑付风险：</w:t>
      </w:r>
      <w:r>
        <w:rPr>
          <w:rFonts w:hint="eastAsia" w:ascii="楷体" w:hAnsi="楷体" w:eastAsia="楷体"/>
          <w:color w:val="auto"/>
          <w:sz w:val="21"/>
          <w:szCs w:val="21"/>
          <w:highlight w:val="none"/>
        </w:rPr>
        <w:t>因市场成交量不足、资产限制赎回、暂停交易、缺乏意愿交易对手等原因，产品管理人未能及时完成资产变现而导致理财产品不能及时变现、持有期与资金需求日不匹配或不能按时支付清算分配金额，则投资者可能面临产品兑付延期、调整等风险，甚至由此投资者可能面临本金和收益遭受部分甚至全部损失的风险。</w:t>
      </w:r>
    </w:p>
    <w:p>
      <w:pPr>
        <w:keepNext w:val="0"/>
        <w:keepLines w:val="0"/>
        <w:pageBreakBefore w:val="0"/>
        <w:numPr>
          <w:ilvl w:val="0"/>
          <w:numId w:val="9"/>
        </w:numPr>
        <w:tabs>
          <w:tab w:val="left" w:pos="993"/>
        </w:tabs>
        <w:bidi w:val="0"/>
        <w:spacing w:line="310" w:lineRule="exact"/>
        <w:ind w:left="0" w:firstLine="422"/>
        <w:rPr>
          <w:rFonts w:hint="eastAsia" w:ascii="楷体" w:hAnsi="楷体" w:eastAsia="楷体"/>
          <w:color w:val="auto"/>
          <w:sz w:val="21"/>
          <w:szCs w:val="21"/>
          <w:highlight w:val="none"/>
        </w:rPr>
      </w:pPr>
      <w:r>
        <w:rPr>
          <w:rFonts w:hint="eastAsia" w:ascii="楷体" w:hAnsi="楷体" w:eastAsia="楷体"/>
          <w:b/>
          <w:color w:val="auto"/>
          <w:sz w:val="21"/>
          <w:szCs w:val="21"/>
          <w:highlight w:val="none"/>
        </w:rPr>
        <w:t>提前终止风险：</w:t>
      </w:r>
      <w:r>
        <w:rPr>
          <w:rFonts w:hint="eastAsia" w:ascii="楷体" w:hAnsi="楷体" w:eastAsia="楷体"/>
          <w:color w:val="auto"/>
          <w:sz w:val="21"/>
          <w:szCs w:val="21"/>
          <w:highlight w:val="none"/>
        </w:rPr>
        <w:t>为保护投资者利益，在本理财产品存续期间，产品管理人可根据本理财产品说明书约定的情况提前终止本理财产品。同时，由于不可抗力及/或意外事件导致产品管理人无法继续履行理财</w:t>
      </w:r>
      <w:r>
        <w:rPr>
          <w:rFonts w:hint="eastAsia" w:ascii="楷体" w:hAnsi="楷体" w:eastAsia="楷体"/>
          <w:color w:val="auto"/>
          <w:sz w:val="21"/>
          <w:szCs w:val="21"/>
          <w:highlight w:val="none"/>
          <w:lang w:val="en-US" w:eastAsia="zh-CN"/>
        </w:rPr>
        <w:t>产品销售文件</w:t>
      </w:r>
      <w:r>
        <w:rPr>
          <w:rFonts w:hint="eastAsia" w:ascii="楷体" w:hAnsi="楷体" w:eastAsia="楷体"/>
          <w:color w:val="auto"/>
          <w:sz w:val="21"/>
          <w:szCs w:val="21"/>
          <w:highlight w:val="none"/>
        </w:rPr>
        <w:t>的，产品管理人有权提前终止理财产品</w:t>
      </w:r>
      <w:r>
        <w:rPr>
          <w:rFonts w:hint="eastAsia" w:ascii="楷体" w:hAnsi="楷体" w:eastAsia="楷体"/>
          <w:color w:val="auto"/>
          <w:sz w:val="21"/>
          <w:szCs w:val="21"/>
          <w:highlight w:val="none"/>
          <w:lang w:val="en-US" w:eastAsia="zh-CN"/>
        </w:rPr>
        <w:t>销售文件</w:t>
      </w:r>
      <w:r>
        <w:rPr>
          <w:rFonts w:hint="eastAsia" w:ascii="楷体" w:hAnsi="楷体" w:eastAsia="楷体"/>
          <w:color w:val="auto"/>
          <w:sz w:val="21"/>
          <w:szCs w:val="21"/>
          <w:highlight w:val="none"/>
        </w:rPr>
        <w:t>，并将发生不可抗力及/或意外事件后剩余的投资者应得理财资金划付至投资者清算账户。此外，如国家宏观政策、市场相关法律、行政法规或政策等发生变化，可能导致理财产品提前终止。上述情况下，投资者可能面临产品提前终止后再投资的风险。</w:t>
      </w:r>
    </w:p>
    <w:p>
      <w:pPr>
        <w:keepNext w:val="0"/>
        <w:keepLines w:val="0"/>
        <w:pageBreakBefore w:val="0"/>
        <w:numPr>
          <w:ilvl w:val="0"/>
          <w:numId w:val="9"/>
        </w:numPr>
        <w:tabs>
          <w:tab w:val="left" w:pos="993"/>
        </w:tabs>
        <w:bidi w:val="0"/>
        <w:spacing w:line="310" w:lineRule="exact"/>
        <w:ind w:left="0" w:firstLine="422"/>
        <w:rPr>
          <w:rFonts w:hint="eastAsia" w:ascii="楷体" w:hAnsi="楷体" w:eastAsia="楷体"/>
          <w:color w:val="auto"/>
          <w:sz w:val="21"/>
          <w:szCs w:val="21"/>
          <w:highlight w:val="none"/>
        </w:rPr>
      </w:pPr>
      <w:r>
        <w:rPr>
          <w:rFonts w:hint="eastAsia" w:ascii="楷体" w:hAnsi="楷体" w:eastAsia="楷体"/>
          <w:b/>
          <w:color w:val="auto"/>
          <w:sz w:val="21"/>
          <w:szCs w:val="21"/>
          <w:highlight w:val="none"/>
        </w:rPr>
        <w:t>信息传递风险：</w:t>
      </w:r>
      <w:r>
        <w:rPr>
          <w:rFonts w:hint="eastAsia" w:ascii="楷体" w:hAnsi="楷体" w:eastAsia="楷体"/>
          <w:color w:val="auto"/>
          <w:sz w:val="21"/>
          <w:szCs w:val="21"/>
          <w:highlight w:val="none"/>
        </w:rPr>
        <w:t>产品管理人将按照本理财产品</w:t>
      </w:r>
      <w:r>
        <w:rPr>
          <w:rFonts w:hint="eastAsia" w:ascii="楷体" w:hAnsi="楷体" w:eastAsia="楷体"/>
          <w:color w:val="auto"/>
          <w:sz w:val="21"/>
          <w:szCs w:val="21"/>
          <w:highlight w:val="none"/>
          <w:lang w:val="en-US" w:eastAsia="zh-CN"/>
        </w:rPr>
        <w:t>销售文件</w:t>
      </w:r>
      <w:r>
        <w:rPr>
          <w:rFonts w:hint="eastAsia" w:ascii="楷体" w:hAnsi="楷体" w:eastAsia="楷体"/>
          <w:color w:val="auto"/>
          <w:sz w:val="21"/>
          <w:szCs w:val="21"/>
          <w:highlight w:val="none"/>
        </w:rPr>
        <w:t>中规定的信息披露方式及披露途径向投资者公示本理财产品的各类信息和重大事件，投资者应及时查询了解。如投资者未及时查询相关信息或由于不可抗力及/或意外事件的影响使得投资者无法及时了解理财产品信息，进而影响投资者的投资决策，因此产生的责任和风险由投资者自行承担。投资者预留的有效联系方式发生变更的，亦应及时通知产品管理人。如投资者未及时告知产品管理人联系方式变更或产品管理人在其认为需要时无法及时联系到投资者的，可能会影响投资者的投资决策，因此产生的责任和风险由投资者自行承担。</w:t>
      </w:r>
    </w:p>
    <w:p>
      <w:pPr>
        <w:keepNext w:val="0"/>
        <w:keepLines w:val="0"/>
        <w:pageBreakBefore w:val="0"/>
        <w:numPr>
          <w:ilvl w:val="0"/>
          <w:numId w:val="9"/>
        </w:numPr>
        <w:tabs>
          <w:tab w:val="left" w:pos="993"/>
        </w:tabs>
        <w:bidi w:val="0"/>
        <w:spacing w:line="310" w:lineRule="exact"/>
        <w:ind w:left="0" w:firstLine="422"/>
        <w:rPr>
          <w:rFonts w:hint="eastAsia" w:ascii="楷体" w:hAnsi="楷体" w:eastAsia="楷体"/>
          <w:sz w:val="21"/>
          <w:szCs w:val="21"/>
          <w:highlight w:val="none"/>
        </w:rPr>
      </w:pPr>
      <w:r>
        <w:rPr>
          <w:rFonts w:hint="eastAsia" w:ascii="楷体" w:hAnsi="楷体" w:eastAsia="楷体"/>
          <w:b/>
          <w:sz w:val="21"/>
          <w:szCs w:val="21"/>
          <w:highlight w:val="none"/>
        </w:rPr>
        <w:t>代销风险</w:t>
      </w:r>
      <w:r>
        <w:rPr>
          <w:rFonts w:hint="eastAsia" w:ascii="楷体" w:hAnsi="楷体" w:eastAsia="楷体"/>
          <w:b/>
          <w:sz w:val="21"/>
          <w:szCs w:val="21"/>
          <w:highlight w:val="none"/>
          <w:lang w:eastAsia="zh-CN"/>
        </w:rPr>
        <w:t>（</w:t>
      </w:r>
      <w:r>
        <w:rPr>
          <w:rFonts w:hint="eastAsia" w:ascii="楷体" w:hAnsi="楷体" w:eastAsia="楷体"/>
          <w:b/>
          <w:sz w:val="21"/>
          <w:szCs w:val="21"/>
          <w:highlight w:val="none"/>
          <w:lang w:val="en-US" w:eastAsia="zh-CN"/>
        </w:rPr>
        <w:t>如有）</w:t>
      </w:r>
      <w:r>
        <w:rPr>
          <w:rFonts w:hint="eastAsia" w:ascii="楷体" w:hAnsi="楷体" w:eastAsia="楷体"/>
          <w:b/>
          <w:sz w:val="21"/>
          <w:szCs w:val="21"/>
          <w:highlight w:val="none"/>
        </w:rPr>
        <w:t>：</w:t>
      </w:r>
      <w:r>
        <w:rPr>
          <w:rFonts w:hint="eastAsia" w:ascii="楷体" w:hAnsi="楷体" w:eastAsia="楷体"/>
          <w:b w:val="0"/>
          <w:bCs/>
          <w:sz w:val="21"/>
          <w:szCs w:val="21"/>
          <w:highlight w:val="none"/>
          <w:lang w:val="en-US" w:eastAsia="zh-CN"/>
        </w:rPr>
        <w:t>如</w:t>
      </w:r>
      <w:r>
        <w:rPr>
          <w:rFonts w:hint="eastAsia" w:ascii="楷体" w:hAnsi="楷体" w:eastAsia="楷体"/>
          <w:sz w:val="21"/>
          <w:szCs w:val="21"/>
          <w:highlight w:val="none"/>
        </w:rPr>
        <w:t>本产品通过代销渠道（非产品管理人自有渠道）销售，投资者认购</w:t>
      </w:r>
      <w:r>
        <w:rPr>
          <w:rFonts w:hint="eastAsia" w:ascii="楷体" w:hAnsi="楷体" w:eastAsia="楷体"/>
          <w:sz w:val="21"/>
          <w:szCs w:val="21"/>
          <w:highlight w:val="none"/>
          <w:lang w:val="en-US" w:eastAsia="zh-CN"/>
        </w:rPr>
        <w:t>/申购</w:t>
      </w:r>
      <w:r>
        <w:rPr>
          <w:rFonts w:hint="eastAsia" w:ascii="楷体" w:hAnsi="楷体" w:eastAsia="楷体"/>
          <w:sz w:val="21"/>
          <w:szCs w:val="21"/>
          <w:highlight w:val="none"/>
        </w:rPr>
        <w:t>理财产品的资金由代销机构从投资者资金账户扣收；份额赎回时，赎回资金按本理财产品</w:t>
      </w:r>
      <w:r>
        <w:rPr>
          <w:rFonts w:hint="eastAsia" w:ascii="楷体" w:hAnsi="楷体" w:eastAsia="楷体"/>
          <w:color w:val="auto"/>
          <w:sz w:val="21"/>
          <w:szCs w:val="21"/>
          <w:highlight w:val="none"/>
          <w:lang w:val="en-US" w:eastAsia="zh-CN"/>
        </w:rPr>
        <w:t>销售文件</w:t>
      </w:r>
      <w:r>
        <w:rPr>
          <w:rFonts w:hint="eastAsia" w:ascii="楷体" w:hAnsi="楷体" w:eastAsia="楷体"/>
          <w:sz w:val="21"/>
          <w:szCs w:val="21"/>
          <w:highlight w:val="none"/>
        </w:rPr>
        <w:t>约定划付至代销机构清算账户后，由代销机构向投资者划付投资者应得赎回资金。不同代销机构的销售渠道，其认购</w:t>
      </w:r>
      <w:r>
        <w:rPr>
          <w:rFonts w:hint="eastAsia" w:ascii="楷体" w:hAnsi="楷体" w:eastAsia="楷体"/>
          <w:sz w:val="21"/>
          <w:szCs w:val="21"/>
          <w:highlight w:val="none"/>
          <w:lang w:val="en-US" w:eastAsia="zh-CN"/>
        </w:rPr>
        <w:t>/申购</w:t>
      </w:r>
      <w:r>
        <w:rPr>
          <w:rFonts w:hint="eastAsia" w:ascii="楷体" w:hAnsi="楷体" w:eastAsia="楷体"/>
          <w:sz w:val="21"/>
          <w:szCs w:val="21"/>
          <w:highlight w:val="none"/>
        </w:rPr>
        <w:t>/赎回确认时效可能存在差异。如因投资者清算账户余额不足，或代销机构未及时足额划付资金，或代销机构清算账户内资金被依法冻结或扣划，或代销机构清算账户处于被挂失、冻结、注销或其他非正常状态等原因而导致交易失败，对于因上述原因导致的交易失败可能带来的任何损失及预期损失，投资者须自行承担或与代销机构协商解决，前述约定不免除因代销机构过错而依法应由代销机构承担的责任。</w:t>
      </w:r>
    </w:p>
    <w:p>
      <w:pPr>
        <w:keepNext w:val="0"/>
        <w:keepLines w:val="0"/>
        <w:pageBreakBefore w:val="0"/>
        <w:numPr>
          <w:ilvl w:val="0"/>
          <w:numId w:val="9"/>
        </w:numPr>
        <w:tabs>
          <w:tab w:val="left" w:pos="993"/>
        </w:tabs>
        <w:bidi w:val="0"/>
        <w:spacing w:line="310" w:lineRule="exact"/>
        <w:ind w:left="0" w:firstLine="422"/>
        <w:rPr>
          <w:rFonts w:hint="eastAsia" w:ascii="楷体" w:hAnsi="楷体" w:eastAsia="楷体"/>
          <w:color w:val="auto"/>
          <w:sz w:val="21"/>
          <w:szCs w:val="21"/>
          <w:highlight w:val="none"/>
        </w:rPr>
      </w:pPr>
      <w:r>
        <w:rPr>
          <w:rFonts w:hint="eastAsia" w:ascii="楷体" w:hAnsi="楷体" w:eastAsia="楷体"/>
          <w:b/>
          <w:color w:val="auto"/>
          <w:sz w:val="21"/>
          <w:szCs w:val="21"/>
          <w:highlight w:val="none"/>
        </w:rPr>
        <w:t>不可抗力</w:t>
      </w:r>
      <w:r>
        <w:rPr>
          <w:rFonts w:hint="eastAsia" w:ascii="楷体" w:hAnsi="楷体" w:eastAsia="楷体"/>
          <w:b/>
          <w:color w:val="auto"/>
          <w:sz w:val="21"/>
          <w:szCs w:val="21"/>
          <w:highlight w:val="none"/>
          <w:lang w:val="en-US" w:eastAsia="zh-CN"/>
        </w:rPr>
        <w:t>及意外事件</w:t>
      </w:r>
      <w:r>
        <w:rPr>
          <w:rFonts w:hint="eastAsia" w:ascii="楷体" w:hAnsi="楷体" w:eastAsia="楷体"/>
          <w:b/>
          <w:color w:val="auto"/>
          <w:sz w:val="21"/>
          <w:szCs w:val="21"/>
          <w:highlight w:val="none"/>
        </w:rPr>
        <w:t>风险：</w:t>
      </w:r>
      <w:r>
        <w:rPr>
          <w:rFonts w:hint="eastAsia" w:ascii="楷体" w:hAnsi="楷体" w:eastAsia="楷体"/>
          <w:color w:val="auto"/>
          <w:sz w:val="21"/>
          <w:szCs w:val="21"/>
          <w:highlight w:val="none"/>
        </w:rPr>
        <w:t>自然灾害、</w:t>
      </w:r>
      <w:r>
        <w:rPr>
          <w:rFonts w:hint="eastAsia" w:ascii="楷体" w:hAnsi="楷体" w:eastAsia="楷体"/>
          <w:sz w:val="21"/>
          <w:szCs w:val="21"/>
          <w:highlight w:val="none"/>
        </w:rPr>
        <w:t>疫情、严重传染病</w:t>
      </w:r>
      <w:r>
        <w:rPr>
          <w:rFonts w:hint="eastAsia" w:ascii="楷体" w:hAnsi="楷体" w:eastAsia="楷体"/>
          <w:sz w:val="21"/>
          <w:szCs w:val="21"/>
          <w:highlight w:val="none"/>
          <w:lang w:eastAsia="zh-CN"/>
        </w:rPr>
        <w:t>、</w:t>
      </w:r>
      <w:r>
        <w:rPr>
          <w:rFonts w:hint="eastAsia" w:ascii="楷体" w:hAnsi="楷体" w:eastAsia="楷体"/>
          <w:color w:val="auto"/>
          <w:sz w:val="21"/>
          <w:szCs w:val="21"/>
          <w:highlight w:val="none"/>
        </w:rPr>
        <w:t>金融市场危机、战争等不能预见、不能避免、不能克服的不可抗力因素，及/或系统故障、通讯故障、投资市场停止交易等意外事件非产品管理人所能控制的原因发生，可能对本理财产品的受理、成立、投资运作、资金返还、信息披露、公告通知等造成影响，甚至可能导致投资者的本金和收益可能遭受部分或全部的损失。对于由不可抗力及/或意外事件风险导致的任何损失，投资者须自行承担。</w:t>
      </w:r>
    </w:p>
    <w:p>
      <w:pPr>
        <w:keepNext w:val="0"/>
        <w:keepLines w:val="0"/>
        <w:pageBreakBefore w:val="0"/>
        <w:numPr>
          <w:ilvl w:val="0"/>
          <w:numId w:val="9"/>
        </w:numPr>
        <w:tabs>
          <w:tab w:val="left" w:pos="993"/>
        </w:tabs>
        <w:bidi w:val="0"/>
        <w:spacing w:line="310" w:lineRule="exact"/>
        <w:ind w:left="0" w:firstLine="422"/>
        <w:rPr>
          <w:rFonts w:hint="eastAsia" w:ascii="楷体" w:hAnsi="楷体" w:eastAsia="楷体"/>
          <w:color w:val="auto"/>
          <w:sz w:val="21"/>
          <w:szCs w:val="21"/>
          <w:highlight w:val="none"/>
        </w:rPr>
      </w:pPr>
      <w:r>
        <w:rPr>
          <w:rFonts w:hint="eastAsia" w:ascii="楷体" w:hAnsi="楷体" w:eastAsia="楷体" w:cs="Times New Roman"/>
          <w:b/>
          <w:bCs/>
          <w:color w:val="auto"/>
          <w:sz w:val="21"/>
          <w:szCs w:val="21"/>
          <w:highlight w:val="none"/>
        </w:rPr>
        <w:t>关联关系及关联交易风险</w:t>
      </w:r>
      <w:r>
        <w:rPr>
          <w:rFonts w:hint="eastAsia" w:ascii="楷体" w:hAnsi="楷体" w:eastAsia="楷体" w:cs="Times New Roman"/>
          <w:color w:val="auto"/>
          <w:sz w:val="21"/>
          <w:szCs w:val="21"/>
          <w:highlight w:val="none"/>
        </w:rPr>
        <w:t>：本理财产品由</w:t>
      </w:r>
      <w:r>
        <w:rPr>
          <w:rFonts w:hint="eastAsia" w:ascii="楷体" w:hAnsi="楷体" w:eastAsia="楷体" w:cs="Times New Roman"/>
          <w:color w:val="auto"/>
          <w:sz w:val="21"/>
          <w:szCs w:val="21"/>
          <w:highlight w:val="none"/>
          <w:lang w:val="en-US" w:eastAsia="zh-CN"/>
        </w:rPr>
        <w:t>苏银</w:t>
      </w:r>
      <w:r>
        <w:rPr>
          <w:rFonts w:hint="eastAsia" w:ascii="楷体" w:hAnsi="楷体" w:eastAsia="楷体" w:cs="Times New Roman"/>
          <w:color w:val="auto"/>
          <w:sz w:val="21"/>
          <w:szCs w:val="21"/>
          <w:highlight w:val="none"/>
        </w:rPr>
        <w:t>理财发行并作为管理人，独立履行产品管理职责，</w:t>
      </w:r>
      <w:r>
        <w:rPr>
          <w:rFonts w:hint="eastAsia" w:ascii="楷体" w:hAnsi="楷体" w:eastAsia="楷体" w:cs="Times New Roman"/>
          <w:b w:val="0"/>
          <w:bCs w:val="0"/>
          <w:color w:val="auto"/>
          <w:sz w:val="21"/>
          <w:szCs w:val="21"/>
          <w:highlight w:val="none"/>
          <w:lang w:val="en-US" w:eastAsia="zh-CN"/>
        </w:rPr>
        <w:t>在运作过程中，可能涉及管理人的关联方担任销售机构、托管机构或投资顾问，届时苏银理财与关联方之间</w:t>
      </w:r>
      <w:r>
        <w:rPr>
          <w:rFonts w:hint="eastAsia" w:ascii="楷体" w:hAnsi="楷体" w:eastAsia="楷体" w:cs="Times New Roman"/>
          <w:b w:val="0"/>
          <w:bCs w:val="0"/>
          <w:color w:val="auto"/>
          <w:sz w:val="21"/>
          <w:szCs w:val="21"/>
          <w:highlight w:val="none"/>
        </w:rPr>
        <w:t>可能出现关联交易行为。</w:t>
      </w:r>
      <w:r>
        <w:rPr>
          <w:rFonts w:hint="eastAsia" w:ascii="楷体" w:hAnsi="楷体" w:eastAsia="楷体" w:cs="Times New Roman"/>
          <w:color w:val="auto"/>
          <w:sz w:val="21"/>
          <w:szCs w:val="21"/>
          <w:highlight w:val="none"/>
          <w:lang w:val="en-US" w:eastAsia="zh-CN"/>
        </w:rPr>
        <w:t>苏银</w:t>
      </w:r>
      <w:r>
        <w:rPr>
          <w:rFonts w:hint="eastAsia" w:ascii="楷体" w:hAnsi="楷体" w:eastAsia="楷体" w:cs="Times New Roman"/>
          <w:color w:val="auto"/>
          <w:sz w:val="21"/>
          <w:szCs w:val="21"/>
          <w:highlight w:val="none"/>
        </w:rPr>
        <w:t>理财将严格遵守法律、行政法规和金融监督管理部门的规定对关联方进行准确识别，按规定及时进行审批、备案并进行充分披露，不会以本理财产品与关联方进行不正当交易、利益输送等违反相关监管规定的行为，以尽力降低关联交易风险，但仍存在无法完全排除关联交易的可能而导致影响投资者收益的风险。</w:t>
      </w:r>
    </w:p>
    <w:p>
      <w:pPr>
        <w:keepNext w:val="0"/>
        <w:keepLines w:val="0"/>
        <w:pageBreakBefore w:val="0"/>
        <w:numPr>
          <w:ilvl w:val="0"/>
          <w:numId w:val="9"/>
        </w:numPr>
        <w:tabs>
          <w:tab w:val="left" w:pos="993"/>
        </w:tabs>
        <w:bidi w:val="0"/>
        <w:spacing w:line="310" w:lineRule="exact"/>
        <w:ind w:left="0" w:firstLine="422"/>
        <w:rPr>
          <w:rFonts w:hint="eastAsia" w:ascii="楷体" w:hAnsi="楷体" w:eastAsia="楷体"/>
          <w:b/>
          <w:color w:val="auto"/>
          <w:sz w:val="21"/>
          <w:szCs w:val="21"/>
          <w:highlight w:val="none"/>
        </w:rPr>
      </w:pPr>
      <w:r>
        <w:rPr>
          <w:rFonts w:hint="eastAsia" w:ascii="楷体" w:hAnsi="楷体" w:eastAsia="楷体"/>
          <w:b/>
          <w:color w:val="auto"/>
          <w:sz w:val="21"/>
          <w:szCs w:val="21"/>
          <w:highlight w:val="none"/>
        </w:rPr>
        <w:t>特定投资标的风险：</w:t>
      </w:r>
    </w:p>
    <w:p>
      <w:pPr>
        <w:keepNext w:val="0"/>
        <w:keepLines w:val="0"/>
        <w:pageBreakBefore w:val="0"/>
        <w:widowControl w:val="0"/>
        <w:numPr>
          <w:ilvl w:val="0"/>
          <w:numId w:val="0"/>
        </w:numPr>
        <w:tabs>
          <w:tab w:val="left" w:pos="742"/>
        </w:tabs>
        <w:bidi w:val="0"/>
        <w:ind w:left="0" w:firstLine="422"/>
        <w:rPr>
          <w:rFonts w:hint="eastAsia" w:ascii="楷体" w:hAnsi="楷体" w:eastAsia="楷体" w:cs="楷体"/>
          <w:b/>
          <w:bCs/>
          <w:color w:val="auto"/>
          <w:sz w:val="21"/>
          <w:szCs w:val="21"/>
          <w:highlight w:val="none"/>
        </w:rPr>
      </w:pPr>
      <w:r>
        <w:rPr>
          <w:rFonts w:hint="eastAsia" w:ascii="楷体" w:hAnsi="楷体" w:eastAsia="楷体" w:cs="楷体"/>
          <w:color w:val="auto"/>
          <w:sz w:val="21"/>
          <w:szCs w:val="21"/>
          <w:highlight w:val="none"/>
        </w:rPr>
        <w:t>1.非标准化债权的特殊风险：</w:t>
      </w:r>
    </w:p>
    <w:p>
      <w:pPr>
        <w:keepNext w:val="0"/>
        <w:keepLines w:val="0"/>
        <w:pageBreakBefore w:val="0"/>
        <w:widowControl w:val="0"/>
        <w:tabs>
          <w:tab w:val="left" w:pos="742"/>
        </w:tabs>
        <w:bidi w:val="0"/>
        <w:ind w:left="0" w:firstLine="422"/>
        <w:rPr>
          <w:rFonts w:hint="eastAsia" w:ascii="楷体" w:hAnsi="楷体" w:eastAsia="楷体" w:cs="楷体"/>
          <w:b/>
          <w:bCs/>
          <w:color w:val="auto"/>
          <w:sz w:val="21"/>
          <w:szCs w:val="21"/>
          <w:highlight w:val="none"/>
        </w:rPr>
      </w:pPr>
      <w:r>
        <w:rPr>
          <w:rFonts w:hint="eastAsia" w:ascii="楷体" w:hAnsi="楷体" w:eastAsia="楷体" w:cs="楷体"/>
          <w:color w:val="auto"/>
          <w:sz w:val="21"/>
          <w:szCs w:val="21"/>
          <w:highlight w:val="none"/>
        </w:rPr>
        <w:t>①融资方还款履约能力可能的变化导致的信用风险。②债务人提前还款或逾期还款的风险。③保证人未履行保证义务的风险等。</w:t>
      </w:r>
    </w:p>
    <w:p>
      <w:pPr>
        <w:keepNext w:val="0"/>
        <w:keepLines w:val="0"/>
        <w:pageBreakBefore w:val="0"/>
        <w:widowControl w:val="0"/>
        <w:tabs>
          <w:tab w:val="left" w:pos="742"/>
        </w:tabs>
        <w:bidi w:val="0"/>
        <w:ind w:left="0" w:firstLine="422"/>
        <w:rPr>
          <w:rFonts w:hint="eastAsia" w:ascii="楷体" w:hAnsi="楷体" w:eastAsia="楷体" w:cs="楷体"/>
          <w:b/>
          <w:bCs/>
          <w:color w:val="auto"/>
          <w:sz w:val="21"/>
          <w:szCs w:val="21"/>
          <w:highlight w:val="none"/>
        </w:rPr>
      </w:pPr>
      <w:r>
        <w:rPr>
          <w:rFonts w:hint="eastAsia" w:ascii="楷体" w:hAnsi="楷体" w:eastAsia="楷体" w:cs="楷体"/>
          <w:color w:val="auto"/>
          <w:sz w:val="21"/>
          <w:szCs w:val="21"/>
          <w:highlight w:val="none"/>
        </w:rPr>
        <w:t>2.股票投资的特殊风险：</w:t>
      </w:r>
    </w:p>
    <w:p>
      <w:pPr>
        <w:keepNext w:val="0"/>
        <w:keepLines w:val="0"/>
        <w:pageBreakBefore w:val="0"/>
        <w:widowControl w:val="0"/>
        <w:tabs>
          <w:tab w:val="left" w:pos="742"/>
        </w:tabs>
        <w:bidi w:val="0"/>
        <w:ind w:left="0" w:firstLine="422"/>
        <w:rPr>
          <w:rFonts w:hint="eastAsia" w:ascii="楷体" w:hAnsi="楷体" w:eastAsia="楷体" w:cs="楷体"/>
          <w:b/>
          <w:bCs/>
          <w:color w:val="auto"/>
          <w:sz w:val="21"/>
          <w:szCs w:val="21"/>
          <w:highlight w:val="none"/>
        </w:rPr>
      </w:pPr>
      <w:r>
        <w:rPr>
          <w:rFonts w:hint="eastAsia" w:ascii="楷体" w:hAnsi="楷体" w:eastAsia="楷体" w:cs="楷体"/>
          <w:color w:val="auto"/>
          <w:sz w:val="21"/>
          <w:szCs w:val="21"/>
          <w:highlight w:val="none"/>
        </w:rPr>
        <w:t>①国家货币政策、财政政策、产业政策等的变化对证券市场产生一定的影响，导致市场价格水平波动的风险。②宏观经济运行周期性波动，对股票市场的收益水平产生影响的风险。③上市公司的经营状况受多种因素影响，如市场、技术、竞争、管理、财务等都会导致公司盈利发生变化，从而导致股票价格变动的风险。</w:t>
      </w:r>
    </w:p>
    <w:p>
      <w:pPr>
        <w:keepNext w:val="0"/>
        <w:keepLines w:val="0"/>
        <w:pageBreakBefore w:val="0"/>
        <w:widowControl w:val="0"/>
        <w:tabs>
          <w:tab w:val="left" w:pos="742"/>
        </w:tabs>
        <w:bidi w:val="0"/>
        <w:ind w:left="0" w:firstLine="422"/>
        <w:rPr>
          <w:rFonts w:hint="eastAsia" w:ascii="楷体" w:hAnsi="楷体" w:eastAsia="楷体" w:cs="楷体"/>
          <w:b/>
          <w:bCs/>
          <w:color w:val="auto"/>
          <w:sz w:val="21"/>
          <w:szCs w:val="21"/>
          <w:highlight w:val="none"/>
        </w:rPr>
      </w:pPr>
      <w:r>
        <w:rPr>
          <w:rFonts w:hint="eastAsia" w:ascii="楷体" w:hAnsi="楷体" w:eastAsia="楷体" w:cs="楷体"/>
          <w:color w:val="auto"/>
          <w:sz w:val="21"/>
          <w:szCs w:val="21"/>
          <w:highlight w:val="none"/>
        </w:rPr>
        <w:t>3.黄金、黄金主题股票、黄金ETF基金等黄金类资产的特殊风险：</w:t>
      </w:r>
    </w:p>
    <w:p>
      <w:pPr>
        <w:keepNext w:val="0"/>
        <w:keepLines w:val="0"/>
        <w:pageBreakBefore w:val="0"/>
        <w:widowControl w:val="0"/>
        <w:tabs>
          <w:tab w:val="left" w:pos="742"/>
        </w:tabs>
        <w:bidi w:val="0"/>
        <w:ind w:left="0" w:firstLine="422"/>
        <w:rPr>
          <w:rFonts w:hint="eastAsia" w:ascii="楷体" w:hAnsi="楷体" w:eastAsia="楷体" w:cs="楷体"/>
          <w:b/>
          <w:bCs/>
          <w:color w:val="auto"/>
          <w:sz w:val="21"/>
          <w:szCs w:val="21"/>
          <w:highlight w:val="none"/>
        </w:rPr>
      </w:pPr>
      <w:r>
        <w:rPr>
          <w:rFonts w:hint="eastAsia" w:ascii="楷体" w:hAnsi="楷体" w:eastAsia="楷体" w:cs="楷体"/>
          <w:color w:val="auto"/>
          <w:sz w:val="21"/>
          <w:szCs w:val="21"/>
          <w:highlight w:val="none"/>
        </w:rPr>
        <w:t>影响黄金类资产的价格的主要因素包括但不限于：①黄金的供给与需求；②投资者的黄金交易行为；③外汇汇率；④全球和地区性政治经济环境的变化等。</w:t>
      </w:r>
    </w:p>
    <w:p>
      <w:pPr>
        <w:keepNext w:val="0"/>
        <w:keepLines w:val="0"/>
        <w:pageBreakBefore w:val="0"/>
        <w:widowControl w:val="0"/>
        <w:tabs>
          <w:tab w:val="left" w:pos="742"/>
        </w:tabs>
        <w:bidi w:val="0"/>
        <w:ind w:left="0" w:firstLine="422"/>
        <w:rPr>
          <w:rFonts w:hint="eastAsia" w:ascii="楷体" w:hAnsi="楷体" w:eastAsia="楷体" w:cs="楷体"/>
          <w:b/>
          <w:bCs/>
          <w:color w:val="auto"/>
          <w:sz w:val="21"/>
          <w:szCs w:val="21"/>
          <w:highlight w:val="none"/>
        </w:rPr>
      </w:pPr>
      <w:r>
        <w:rPr>
          <w:rFonts w:hint="eastAsia" w:ascii="楷体" w:hAnsi="楷体" w:eastAsia="楷体" w:cs="楷体"/>
          <w:color w:val="auto"/>
          <w:sz w:val="21"/>
          <w:szCs w:val="21"/>
          <w:highlight w:val="none"/>
        </w:rPr>
        <w:t>4.结构性存款的特殊风险：</w:t>
      </w:r>
    </w:p>
    <w:p>
      <w:pPr>
        <w:keepNext w:val="0"/>
        <w:keepLines w:val="0"/>
        <w:pageBreakBefore w:val="0"/>
        <w:widowControl w:val="0"/>
        <w:tabs>
          <w:tab w:val="left" w:pos="742"/>
        </w:tabs>
        <w:bidi w:val="0"/>
        <w:ind w:left="0" w:firstLine="422"/>
        <w:rPr>
          <w:rFonts w:hint="eastAsia" w:ascii="楷体" w:hAnsi="楷体" w:eastAsia="楷体" w:cs="楷体"/>
          <w:b/>
          <w:bCs/>
          <w:color w:val="auto"/>
          <w:sz w:val="21"/>
          <w:szCs w:val="21"/>
          <w:highlight w:val="none"/>
        </w:rPr>
      </w:pPr>
      <w:r>
        <w:rPr>
          <w:rFonts w:hint="eastAsia" w:ascii="楷体" w:hAnsi="楷体" w:eastAsia="楷体" w:cs="楷体"/>
          <w:color w:val="auto"/>
          <w:sz w:val="21"/>
          <w:szCs w:val="21"/>
          <w:highlight w:val="none"/>
        </w:rPr>
        <w:t>①市场风险。结构性存款挂钩的境内外债券、股票、利率、汇率、指数等标的受相关国家或地区的金融市场和经济趋势的影响，收益存在不确定性。②信用风险。结构性存款可能面临交易对手银行无力偿付或未履行该结构性存款相关义务（含支付义务）的风险，同时结构性存款挂钩的标的如果出现信用违约，结构性存款的本金与收益也会受到影响，在最不利的情况下可能损失全部本金。③利率风险。结构性存款如挂钩特定债券或债券指数，可能因相关利率变动而导致产品收益发生变化。④汇率风险。结构性存款如挂钩境外证券资产，可能面临以非人民币计价的各类资产受汇率波动影响而引起人民币估值下的理财产品资产净值波动的风险。⑤衍生品投资风险。结构性存款所嵌入的金融衍生工具，可能存在杠杆风险、操作风险、交易对手的信用风险、衍生品价格与其基础品种的相关度变化带来的风险等。以上风险事项若发生，可能影响投资者收益，甚至使产品本金遭受损失。</w:t>
      </w:r>
    </w:p>
    <w:p>
      <w:pPr>
        <w:keepNext w:val="0"/>
        <w:keepLines w:val="0"/>
        <w:pageBreakBefore w:val="0"/>
        <w:widowControl w:val="0"/>
        <w:tabs>
          <w:tab w:val="left" w:pos="742"/>
        </w:tabs>
        <w:bidi w:val="0"/>
        <w:ind w:left="0" w:firstLine="422"/>
        <w:rPr>
          <w:rFonts w:hint="eastAsia" w:ascii="楷体" w:hAnsi="楷体" w:eastAsia="楷体" w:cs="楷体"/>
          <w:b/>
          <w:bCs/>
          <w:color w:val="auto"/>
          <w:sz w:val="21"/>
          <w:szCs w:val="21"/>
          <w:highlight w:val="none"/>
        </w:rPr>
      </w:pPr>
      <w:r>
        <w:rPr>
          <w:rFonts w:hint="eastAsia" w:ascii="楷体" w:hAnsi="楷体" w:eastAsia="楷体" w:cs="楷体"/>
          <w:color w:val="auto"/>
          <w:sz w:val="21"/>
          <w:szCs w:val="21"/>
          <w:highlight w:val="none"/>
        </w:rPr>
        <w:t>5.债券投资的特殊风险：</w:t>
      </w:r>
    </w:p>
    <w:p>
      <w:pPr>
        <w:keepNext w:val="0"/>
        <w:keepLines w:val="0"/>
        <w:pageBreakBefore w:val="0"/>
        <w:widowControl w:val="0"/>
        <w:tabs>
          <w:tab w:val="left" w:pos="742"/>
        </w:tabs>
        <w:bidi w:val="0"/>
        <w:ind w:left="0" w:firstLine="422"/>
        <w:rPr>
          <w:rFonts w:hint="eastAsia" w:ascii="楷体" w:hAnsi="楷体" w:eastAsia="楷体" w:cs="楷体"/>
          <w:b/>
          <w:bCs/>
          <w:color w:val="auto"/>
          <w:sz w:val="21"/>
          <w:szCs w:val="21"/>
          <w:highlight w:val="none"/>
        </w:rPr>
      </w:pPr>
      <w:r>
        <w:rPr>
          <w:rFonts w:hint="eastAsia" w:ascii="楷体" w:hAnsi="楷体" w:eastAsia="楷体" w:cs="楷体"/>
          <w:color w:val="auto"/>
          <w:sz w:val="21"/>
          <w:szCs w:val="21"/>
          <w:highlight w:val="none"/>
        </w:rPr>
        <w:t>①市场平均利率水平变化导致债券价格变化的风险。②债券市场不同期限、不同类别债券之间的利差变动导致相应期限和类别债券价格变化的风险。③债券的发行人的经营状况受到多种因素影响，如管理能力、财务状况、市场前景、行业竞争能力、技术更新、研究开发、人员素质等，都会导致发行人盈利发生变化，可能导致债券市场价格下跌或无法按时偿付本息，从而影响理财产品收益水平。④债券发行人、担保人出现违约拒绝支付到期本息，或由于债券发行人、担保人信用质量降低导致债券价格下降及无法收回投资收益的风险。⑤与信用等级较高的债券相比，投资于信用等级较低的债券将因为发行主体的偿还债务能力略低、受不利经济环境的影响更大以及违约风险更高等原因而面临更大的投资风险。⑥相对于其他公开发行的债券，非公开定向债务融资工具、非公开发行公司债的流动性较差，其流通和转让均存在一定的限制，因此投资于非公开定向债务融资工具将面临较大的投资风险。</w:t>
      </w:r>
    </w:p>
    <w:p>
      <w:pPr>
        <w:keepNext w:val="0"/>
        <w:keepLines w:val="0"/>
        <w:pageBreakBefore w:val="0"/>
        <w:widowControl w:val="0"/>
        <w:tabs>
          <w:tab w:val="left" w:pos="742"/>
        </w:tabs>
        <w:bidi w:val="0"/>
        <w:ind w:left="0" w:firstLine="422"/>
        <w:rPr>
          <w:rFonts w:hint="eastAsia" w:ascii="楷体" w:hAnsi="楷体" w:eastAsia="楷体" w:cs="楷体"/>
          <w:b/>
          <w:bCs/>
          <w:color w:val="auto"/>
          <w:sz w:val="21"/>
          <w:szCs w:val="21"/>
          <w:highlight w:val="none"/>
        </w:rPr>
      </w:pPr>
      <w:r>
        <w:rPr>
          <w:rFonts w:hint="eastAsia" w:ascii="楷体" w:hAnsi="楷体" w:eastAsia="楷体" w:cs="楷体"/>
          <w:color w:val="auto"/>
          <w:sz w:val="21"/>
          <w:szCs w:val="21"/>
          <w:highlight w:val="none"/>
        </w:rPr>
        <w:t>6.资产管理计划或基金产品的特殊风险：</w:t>
      </w:r>
    </w:p>
    <w:p>
      <w:pPr>
        <w:keepNext w:val="0"/>
        <w:keepLines w:val="0"/>
        <w:pageBreakBefore w:val="0"/>
        <w:widowControl w:val="0"/>
        <w:tabs>
          <w:tab w:val="left" w:pos="742"/>
        </w:tabs>
        <w:bidi w:val="0"/>
        <w:ind w:left="0" w:firstLine="422"/>
        <w:rPr>
          <w:rFonts w:hint="eastAsia" w:ascii="楷体" w:hAnsi="楷体" w:eastAsia="楷体" w:cs="楷体"/>
          <w:b/>
          <w:bCs/>
          <w:color w:val="auto"/>
          <w:sz w:val="21"/>
          <w:szCs w:val="21"/>
          <w:highlight w:val="none"/>
        </w:rPr>
      </w:pPr>
      <w:r>
        <w:rPr>
          <w:rFonts w:hint="eastAsia" w:ascii="楷体" w:hAnsi="楷体" w:eastAsia="楷体" w:cs="楷体"/>
          <w:color w:val="auto"/>
          <w:sz w:val="21"/>
          <w:szCs w:val="21"/>
          <w:highlight w:val="none"/>
        </w:rPr>
        <w:t>①如本理财产品投资于资产管理计划或基金产品，可能因相关资产管理计划或基金的管理人违法违规、未尽资产管理计划或基金的管理人职责或发生其他情形，造成本理财产品所投资的资管计划产品或基金产品的财产损失，进而引起本理财产品的损失。②资产管理计划或基金产品可能出现因为某种原因而被提前终止的情况，由此可能会造成对本理财产品投资收益的影响。③因本理财产品的管理人无法对所投资的资产管理计划或基金产品进行投资决策，或相关资产管理计划或基金产品的管理人可能不执行或不能及时、准确地执行本理财产品管理人的指令，或未经本理财产品同意将本理财产品交付的资金运用于违反相关销售文件约定的投资范围，导致本理财产品项下委托财产的损失等风险。</w:t>
      </w:r>
    </w:p>
    <w:p>
      <w:pPr>
        <w:keepNext w:val="0"/>
        <w:keepLines w:val="0"/>
        <w:pageBreakBefore w:val="0"/>
        <w:widowControl w:val="0"/>
        <w:tabs>
          <w:tab w:val="left" w:pos="742"/>
        </w:tabs>
        <w:bidi w:val="0"/>
        <w:ind w:left="0" w:firstLine="422"/>
        <w:rPr>
          <w:rFonts w:hint="eastAsia" w:ascii="楷体" w:hAnsi="楷体" w:eastAsia="楷体" w:cs="楷体"/>
          <w:b/>
          <w:bCs/>
          <w:color w:val="auto"/>
          <w:sz w:val="21"/>
          <w:szCs w:val="21"/>
          <w:highlight w:val="none"/>
        </w:rPr>
      </w:pPr>
      <w:r>
        <w:rPr>
          <w:rFonts w:hint="eastAsia" w:ascii="楷体" w:hAnsi="楷体" w:eastAsia="楷体"/>
          <w:color w:val="auto"/>
          <w:sz w:val="21"/>
          <w:szCs w:val="21"/>
          <w:highlight w:val="none"/>
          <w:lang w:val="en-US" w:eastAsia="zh-CN"/>
        </w:rPr>
        <w:t>本理财产品风险管理措施：管理人将本着“诚实信用、勤勉尽责”的原则管理和运用理财产品财产。管理人将密切跟踪货币市场、债券市场及其他证券市场走势，在各类资产间灵活配置，设定单类资产的配置比例，降低市场风险。同时，限制理财产品财产的投资范围和比例，严格按投资原则进行投资运作。管理人将对所投资的各类债权类资产的风险承担主体的财务状况、行业背景以及公司治理等进行密切跟踪及分析，并根据内部投资评级的要求，严格控制风险暴露；另外，管理人将基于谨慎性原则，对交易对手的资质进行严格挑选。</w:t>
      </w:r>
    </w:p>
    <w:p>
      <w:pPr>
        <w:keepNext w:val="0"/>
        <w:keepLines w:val="0"/>
        <w:pageBreakBefore w:val="0"/>
        <w:numPr>
          <w:ilvl w:val="0"/>
          <w:numId w:val="2"/>
        </w:numPr>
        <w:tabs>
          <w:tab w:val="left" w:pos="1134"/>
        </w:tabs>
        <w:bidi w:val="0"/>
        <w:spacing w:line="240" w:lineRule="auto"/>
        <w:ind w:left="0" w:firstLine="422"/>
        <w:outlineLvl w:val="1"/>
        <w:rPr>
          <w:rFonts w:hint="eastAsia" w:ascii="楷体" w:hAnsi="楷体" w:eastAsia="楷体" w:cs="楷体"/>
          <w:b/>
          <w:color w:val="auto"/>
          <w:sz w:val="21"/>
          <w:szCs w:val="21"/>
          <w:highlight w:val="none"/>
        </w:rPr>
      </w:pPr>
      <w:r>
        <w:rPr>
          <w:rFonts w:hint="eastAsia" w:ascii="楷体" w:hAnsi="楷体" w:eastAsia="楷体" w:cs="楷体"/>
          <w:b/>
          <w:color w:val="auto"/>
          <w:sz w:val="21"/>
          <w:szCs w:val="21"/>
          <w:highlight w:val="none"/>
        </w:rPr>
        <w:t>信息披露</w:t>
      </w:r>
      <w:bookmarkEnd w:id="0"/>
    </w:p>
    <w:p>
      <w:pPr>
        <w:numPr>
          <w:ilvl w:val="0"/>
          <w:numId w:val="10"/>
        </w:numPr>
        <w:tabs>
          <w:tab w:val="left" w:pos="993"/>
        </w:tabs>
        <w:ind w:left="0" w:firstLine="420"/>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信息披露</w:t>
      </w:r>
      <w:r>
        <w:rPr>
          <w:rFonts w:hint="eastAsia" w:ascii="楷体" w:hAnsi="楷体" w:eastAsia="楷体" w:cs="楷体"/>
          <w:color w:val="auto"/>
          <w:sz w:val="21"/>
          <w:szCs w:val="21"/>
          <w:highlight w:val="none"/>
          <w:lang w:val="en-US" w:eastAsia="zh-CN"/>
        </w:rPr>
        <w:t>渠道</w:t>
      </w:r>
    </w:p>
    <w:p>
      <w:pPr>
        <w:numPr>
          <w:ilvl w:val="0"/>
          <w:numId w:val="11"/>
        </w:numPr>
        <w:tabs>
          <w:tab w:val="left" w:pos="728"/>
        </w:tabs>
        <w:ind w:left="0" w:firstLine="420"/>
        <w:rPr>
          <w:rFonts w:hint="eastAsia" w:ascii="楷体" w:hAnsi="楷体" w:eastAsia="楷体" w:cs="楷体"/>
          <w:color w:val="auto"/>
          <w:sz w:val="21"/>
          <w:szCs w:val="21"/>
          <w:highlight w:val="none"/>
        </w:rPr>
      </w:pPr>
      <w:r>
        <w:rPr>
          <w:rFonts w:hint="eastAsia" w:ascii="楷体" w:hAnsi="楷体" w:eastAsia="楷体" w:cs="楷体"/>
          <w:sz w:val="21"/>
          <w:szCs w:val="21"/>
          <w:highlight w:val="none"/>
          <w:lang w:val="en-US" w:eastAsia="zh-CN"/>
        </w:rPr>
        <w:t>管理人</w:t>
      </w:r>
      <w:r>
        <w:rPr>
          <w:rFonts w:hint="eastAsia" w:ascii="楷体" w:hAnsi="楷体" w:eastAsia="楷体" w:cs="楷体"/>
          <w:sz w:val="21"/>
          <w:szCs w:val="21"/>
          <w:highlight w:val="none"/>
        </w:rPr>
        <w:t>通过</w:t>
      </w:r>
      <w:r>
        <w:rPr>
          <w:rFonts w:hint="eastAsia" w:ascii="楷体" w:hAnsi="楷体" w:eastAsia="楷体" w:cs="楷体"/>
          <w:sz w:val="21"/>
          <w:szCs w:val="21"/>
          <w:highlight w:val="none"/>
          <w:lang w:val="en-US" w:eastAsia="zh-CN"/>
        </w:rPr>
        <w:t>中国理财网（www.chinawealth.com.cn)、</w:t>
      </w:r>
      <w:r>
        <w:rPr>
          <w:rFonts w:hint="eastAsia" w:ascii="楷体" w:hAnsi="楷体" w:eastAsia="楷体" w:cs="楷体"/>
          <w:sz w:val="21"/>
          <w:szCs w:val="21"/>
          <w:highlight w:val="none"/>
        </w:rPr>
        <w:t>苏银理财有限责任公司官方网站（www</w:t>
      </w:r>
      <w:r>
        <w:rPr>
          <w:rFonts w:hint="eastAsia" w:ascii="楷体" w:hAnsi="楷体" w:eastAsia="楷体" w:cs="楷体"/>
          <w:sz w:val="21"/>
          <w:szCs w:val="21"/>
          <w:highlight w:val="none"/>
          <w:lang w:val="en-US" w:eastAsia="zh-CN"/>
        </w:rPr>
        <w:t>.</w:t>
      </w:r>
      <w:r>
        <w:rPr>
          <w:rFonts w:hint="eastAsia" w:ascii="楷体" w:hAnsi="楷体" w:eastAsia="楷体" w:cs="楷体"/>
          <w:sz w:val="21"/>
          <w:szCs w:val="21"/>
          <w:highlight w:val="none"/>
        </w:rPr>
        <w:t>suyinwealth</w:t>
      </w:r>
      <w:r>
        <w:rPr>
          <w:rFonts w:hint="eastAsia" w:ascii="楷体" w:hAnsi="楷体" w:eastAsia="楷体" w:cs="楷体"/>
          <w:sz w:val="21"/>
          <w:szCs w:val="21"/>
          <w:highlight w:val="none"/>
          <w:lang w:val="en-US" w:eastAsia="zh-CN"/>
        </w:rPr>
        <w:t>.</w:t>
      </w:r>
      <w:r>
        <w:rPr>
          <w:rFonts w:hint="eastAsia" w:ascii="楷体" w:hAnsi="楷体" w:eastAsia="楷体" w:cs="楷体"/>
          <w:sz w:val="21"/>
          <w:szCs w:val="21"/>
          <w:highlight w:val="none"/>
        </w:rPr>
        <w:t>com）进行</w:t>
      </w:r>
      <w:r>
        <w:rPr>
          <w:rFonts w:hint="eastAsia" w:ascii="楷体" w:hAnsi="楷体" w:eastAsia="楷体" w:cs="楷体"/>
          <w:sz w:val="21"/>
          <w:szCs w:val="21"/>
          <w:highlight w:val="none"/>
          <w:lang w:val="en-US" w:eastAsia="zh-CN"/>
        </w:rPr>
        <w:t>公募理财产品</w:t>
      </w:r>
      <w:r>
        <w:rPr>
          <w:rFonts w:hint="eastAsia" w:ascii="楷体" w:hAnsi="楷体" w:eastAsia="楷体" w:cs="楷体"/>
          <w:sz w:val="21"/>
          <w:szCs w:val="21"/>
          <w:highlight w:val="none"/>
        </w:rPr>
        <w:t>信息披露</w:t>
      </w:r>
      <w:r>
        <w:rPr>
          <w:rFonts w:hint="eastAsia" w:ascii="楷体" w:hAnsi="楷体" w:eastAsia="楷体" w:cs="楷体"/>
          <w:sz w:val="21"/>
          <w:szCs w:val="21"/>
          <w:highlight w:val="none"/>
          <w:lang w:eastAsia="zh-CN"/>
        </w:rPr>
        <w:t>；</w:t>
      </w:r>
      <w:r>
        <w:rPr>
          <w:rFonts w:hint="eastAsia" w:ascii="楷体" w:hAnsi="楷体" w:eastAsia="楷体" w:cs="楷体"/>
          <w:sz w:val="21"/>
          <w:szCs w:val="21"/>
          <w:highlight w:val="none"/>
          <w:lang w:val="en-US" w:eastAsia="zh-CN"/>
        </w:rPr>
        <w:t>通过</w:t>
      </w:r>
      <w:r>
        <w:rPr>
          <w:rFonts w:hint="eastAsia" w:ascii="楷体" w:hAnsi="楷体" w:eastAsia="楷体" w:cs="楷体"/>
          <w:sz w:val="21"/>
          <w:szCs w:val="21"/>
          <w:highlight w:val="none"/>
        </w:rPr>
        <w:t>苏银理财有限责任公司官方网站（www</w:t>
      </w:r>
      <w:r>
        <w:rPr>
          <w:rFonts w:hint="eastAsia" w:ascii="楷体" w:hAnsi="楷体" w:eastAsia="楷体" w:cs="楷体"/>
          <w:sz w:val="21"/>
          <w:szCs w:val="21"/>
          <w:highlight w:val="none"/>
          <w:lang w:val="en-US" w:eastAsia="zh-CN"/>
        </w:rPr>
        <w:t>.</w:t>
      </w:r>
      <w:r>
        <w:rPr>
          <w:rFonts w:hint="eastAsia" w:ascii="楷体" w:hAnsi="楷体" w:eastAsia="楷体" w:cs="楷体"/>
          <w:sz w:val="21"/>
          <w:szCs w:val="21"/>
          <w:highlight w:val="none"/>
        </w:rPr>
        <w:t>suyinwealth</w:t>
      </w:r>
      <w:r>
        <w:rPr>
          <w:rFonts w:hint="eastAsia" w:ascii="楷体" w:hAnsi="楷体" w:eastAsia="楷体" w:cs="楷体"/>
          <w:sz w:val="21"/>
          <w:szCs w:val="21"/>
          <w:highlight w:val="none"/>
          <w:lang w:val="en-US" w:eastAsia="zh-CN"/>
        </w:rPr>
        <w:t>.</w:t>
      </w:r>
      <w:r>
        <w:rPr>
          <w:rFonts w:hint="eastAsia" w:ascii="楷体" w:hAnsi="楷体" w:eastAsia="楷体" w:cs="楷体"/>
          <w:sz w:val="21"/>
          <w:szCs w:val="21"/>
          <w:highlight w:val="none"/>
        </w:rPr>
        <w:t>com）进行</w:t>
      </w:r>
      <w:r>
        <w:rPr>
          <w:rFonts w:hint="eastAsia" w:ascii="楷体" w:hAnsi="楷体" w:eastAsia="楷体" w:cs="楷体"/>
          <w:sz w:val="21"/>
          <w:szCs w:val="21"/>
          <w:highlight w:val="none"/>
          <w:lang w:val="en-US" w:eastAsia="zh-CN"/>
        </w:rPr>
        <w:t>私募理财产品</w:t>
      </w:r>
      <w:r>
        <w:rPr>
          <w:rFonts w:hint="eastAsia" w:ascii="楷体" w:hAnsi="楷体" w:eastAsia="楷体" w:cs="楷体"/>
          <w:sz w:val="21"/>
          <w:szCs w:val="21"/>
          <w:highlight w:val="none"/>
        </w:rPr>
        <w:t>信息披露</w:t>
      </w:r>
      <w:r>
        <w:rPr>
          <w:rFonts w:hint="eastAsia" w:ascii="楷体" w:hAnsi="楷体" w:eastAsia="楷体" w:cs="楷体"/>
          <w:sz w:val="21"/>
          <w:szCs w:val="21"/>
          <w:highlight w:val="none"/>
          <w:lang w:eastAsia="zh-CN"/>
        </w:rPr>
        <w:t>。</w:t>
      </w:r>
    </w:p>
    <w:p>
      <w:pPr>
        <w:numPr>
          <w:ilvl w:val="0"/>
          <w:numId w:val="11"/>
        </w:numPr>
        <w:tabs>
          <w:tab w:val="left" w:pos="728"/>
        </w:tabs>
        <w:ind w:left="0" w:firstLine="420"/>
        <w:rPr>
          <w:rFonts w:hint="eastAsia" w:ascii="楷体" w:hAnsi="楷体" w:eastAsia="楷体" w:cs="楷体"/>
          <w:color w:val="auto"/>
          <w:sz w:val="21"/>
          <w:szCs w:val="21"/>
          <w:highlight w:val="none"/>
        </w:rPr>
      </w:pPr>
      <w:r>
        <w:rPr>
          <w:rFonts w:hint="eastAsia" w:ascii="楷体" w:hAnsi="楷体" w:eastAsia="楷体" w:cs="楷体"/>
          <w:sz w:val="21"/>
          <w:szCs w:val="21"/>
          <w:highlight w:val="none"/>
          <w:lang w:val="en-US" w:eastAsia="zh-CN"/>
        </w:rPr>
        <w:t>管理人</w:t>
      </w:r>
      <w:r>
        <w:rPr>
          <w:rFonts w:hint="eastAsia" w:ascii="楷体" w:hAnsi="楷体" w:eastAsia="楷体" w:cs="楷体"/>
          <w:sz w:val="21"/>
          <w:szCs w:val="21"/>
          <w:highlight w:val="none"/>
        </w:rPr>
        <w:t>将信息披露内容发送销售机构，由销售机构通过</w:t>
      </w:r>
      <w:r>
        <w:rPr>
          <w:rFonts w:hint="eastAsia" w:ascii="楷体" w:hAnsi="楷体" w:eastAsia="楷体" w:cs="楷体"/>
          <w:sz w:val="21"/>
          <w:szCs w:val="21"/>
          <w:highlight w:val="none"/>
          <w:lang w:val="en-US" w:eastAsia="zh-CN"/>
        </w:rPr>
        <w:t>短信及</w:t>
      </w:r>
      <w:r>
        <w:rPr>
          <w:rFonts w:hint="eastAsia" w:ascii="楷体" w:hAnsi="楷体" w:eastAsia="楷体" w:cs="楷体"/>
          <w:sz w:val="21"/>
          <w:szCs w:val="21"/>
          <w:highlight w:val="none"/>
        </w:rPr>
        <w:t>销售机构电子渠道和营业网点</w:t>
      </w:r>
      <w:r>
        <w:rPr>
          <w:rFonts w:hint="eastAsia" w:ascii="楷体" w:hAnsi="楷体" w:eastAsia="楷体" w:cs="楷体"/>
          <w:sz w:val="21"/>
          <w:szCs w:val="21"/>
          <w:highlight w:val="none"/>
          <w:lang w:val="en-US" w:eastAsia="zh-CN"/>
        </w:rPr>
        <w:t>等方式</w:t>
      </w:r>
      <w:r>
        <w:rPr>
          <w:rFonts w:hint="eastAsia" w:ascii="楷体" w:hAnsi="楷体" w:eastAsia="楷体" w:cs="楷体"/>
          <w:sz w:val="21"/>
          <w:szCs w:val="21"/>
          <w:highlight w:val="none"/>
        </w:rPr>
        <w:t>进行信息披露。</w:t>
      </w:r>
    </w:p>
    <w:p>
      <w:pPr>
        <w:numPr>
          <w:ilvl w:val="0"/>
          <w:numId w:val="0"/>
        </w:numPr>
        <w:tabs>
          <w:tab w:val="left" w:pos="728"/>
        </w:tabs>
        <w:ind w:firstLine="420"/>
        <w:rPr>
          <w:rFonts w:hint="eastAsia" w:ascii="楷体" w:hAnsi="楷体" w:eastAsia="楷体" w:cs="楷体"/>
          <w:color w:val="auto"/>
          <w:sz w:val="21"/>
          <w:szCs w:val="21"/>
          <w:highlight w:val="none"/>
          <w:lang w:eastAsia="zh-CN"/>
        </w:rPr>
      </w:pPr>
      <w:r>
        <w:rPr>
          <w:rFonts w:hint="eastAsia" w:ascii="楷体" w:hAnsi="楷体" w:eastAsia="楷体" w:cs="楷体"/>
          <w:color w:val="auto"/>
          <w:sz w:val="21"/>
          <w:szCs w:val="21"/>
          <w:highlight w:val="none"/>
          <w:lang w:eastAsia="zh-CN"/>
        </w:rPr>
        <w:t>相关信息在发布或发出之日视为通知已送达投资者并生效，</w:t>
      </w:r>
      <w:r>
        <w:rPr>
          <w:rFonts w:hint="eastAsia" w:ascii="楷体" w:hAnsi="楷体" w:eastAsia="楷体" w:cs="楷体"/>
          <w:color w:val="auto"/>
          <w:sz w:val="21"/>
          <w:szCs w:val="21"/>
          <w:highlight w:val="none"/>
          <w:lang w:val="en-US" w:eastAsia="zh-CN"/>
        </w:rPr>
        <w:t>管理人已完全履行信息披露义务。如因投资者未及时查询，或由于不可抗力、及/或通讯故障、非产品管理人原因的系统故障等意外事件的影响，致使投资者无法及时获取产品信息而产生的全部责任和风险（包括但不限于因未及时获取信息而错过资金使用和再投资的机会等），都由投资者自行承担。因此</w:t>
      </w:r>
      <w:r>
        <w:rPr>
          <w:rFonts w:hint="eastAsia" w:ascii="楷体" w:hAnsi="楷体" w:eastAsia="楷体" w:cs="楷体"/>
          <w:color w:val="auto"/>
          <w:sz w:val="21"/>
          <w:szCs w:val="21"/>
          <w:highlight w:val="none"/>
          <w:lang w:eastAsia="zh-CN"/>
        </w:rPr>
        <w:t>请</w:t>
      </w:r>
      <w:r>
        <w:rPr>
          <w:rFonts w:hint="eastAsia" w:ascii="楷体" w:hAnsi="楷体" w:eastAsia="楷体" w:cs="楷体"/>
          <w:color w:val="auto"/>
          <w:sz w:val="21"/>
          <w:szCs w:val="21"/>
          <w:highlight w:val="none"/>
          <w:lang w:val="en-US" w:eastAsia="zh-CN"/>
        </w:rPr>
        <w:t>投资者</w:t>
      </w:r>
      <w:r>
        <w:rPr>
          <w:rFonts w:hint="eastAsia" w:ascii="楷体" w:hAnsi="楷体" w:eastAsia="楷体" w:cs="楷体"/>
          <w:color w:val="auto"/>
          <w:sz w:val="21"/>
          <w:szCs w:val="21"/>
          <w:highlight w:val="none"/>
          <w:lang w:eastAsia="zh-CN"/>
        </w:rPr>
        <w:t>及时登陆苏银理财有限责任</w:t>
      </w:r>
      <w:r>
        <w:rPr>
          <w:rFonts w:hint="eastAsia" w:ascii="楷体" w:hAnsi="楷体" w:eastAsia="楷体" w:cs="楷体"/>
          <w:color w:val="auto"/>
          <w:sz w:val="21"/>
          <w:szCs w:val="21"/>
          <w:highlight w:val="none"/>
          <w:lang w:val="en-US" w:eastAsia="zh-CN"/>
        </w:rPr>
        <w:t>公司</w:t>
      </w:r>
      <w:r>
        <w:rPr>
          <w:rFonts w:hint="eastAsia" w:ascii="楷体" w:hAnsi="楷体" w:eastAsia="楷体" w:cs="楷体"/>
          <w:color w:val="auto"/>
          <w:sz w:val="21"/>
          <w:szCs w:val="21"/>
          <w:highlight w:val="none"/>
          <w:lang w:eastAsia="zh-CN"/>
        </w:rPr>
        <w:t>官方网站或者向销售机构查询获取披露信息。</w:t>
      </w:r>
    </w:p>
    <w:p>
      <w:pPr>
        <w:numPr>
          <w:ilvl w:val="0"/>
          <w:numId w:val="10"/>
        </w:numPr>
        <w:tabs>
          <w:tab w:val="left" w:pos="993"/>
        </w:tabs>
        <w:ind w:left="0" w:firstLine="420"/>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信息披露</w:t>
      </w:r>
      <w:r>
        <w:rPr>
          <w:rFonts w:hint="eastAsia" w:ascii="楷体" w:hAnsi="楷体" w:eastAsia="楷体" w:cs="楷体"/>
          <w:color w:val="auto"/>
          <w:sz w:val="21"/>
          <w:szCs w:val="21"/>
          <w:highlight w:val="none"/>
          <w:lang w:val="en-US" w:eastAsia="zh-CN"/>
        </w:rPr>
        <w:t>内容及时间</w:t>
      </w:r>
    </w:p>
    <w:p>
      <w:pPr>
        <w:numPr>
          <w:ilvl w:val="0"/>
          <w:numId w:val="12"/>
        </w:numPr>
        <w:tabs>
          <w:tab w:val="left" w:pos="728"/>
        </w:tabs>
        <w:ind w:left="0" w:firstLine="420"/>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产品净值：</w:t>
      </w:r>
      <w:r>
        <w:rPr>
          <w:rFonts w:hint="eastAsia" w:ascii="楷体" w:hAnsi="楷体" w:eastAsia="楷体" w:cs="楷体"/>
          <w:color w:val="auto"/>
          <w:sz w:val="21"/>
          <w:szCs w:val="21"/>
          <w:highlight w:val="none"/>
          <w:lang w:val="en-US" w:eastAsia="zh-CN"/>
        </w:rPr>
        <w:t>公募封闭式产品和处于封闭期的定期开放式产品至少</w:t>
      </w:r>
      <w:r>
        <w:rPr>
          <w:rFonts w:hint="eastAsia" w:ascii="楷体" w:hAnsi="楷体" w:eastAsia="楷体" w:cs="楷体"/>
          <w:color w:val="auto"/>
          <w:sz w:val="21"/>
          <w:szCs w:val="21"/>
          <w:highlight w:val="none"/>
        </w:rPr>
        <w:t>每周向投资者披露一次产品的份额净值、份额累计净值</w:t>
      </w:r>
      <w:r>
        <w:rPr>
          <w:rFonts w:hint="eastAsia" w:ascii="楷体" w:hAnsi="楷体" w:eastAsia="楷体" w:cs="楷体"/>
          <w:color w:val="auto"/>
          <w:sz w:val="21"/>
          <w:szCs w:val="21"/>
          <w:highlight w:val="none"/>
          <w:lang w:val="en-US" w:eastAsia="zh-CN"/>
        </w:rPr>
        <w:t>和资产净值；公募开放式产品</w:t>
      </w:r>
      <w:r>
        <w:rPr>
          <w:rFonts w:hint="eastAsia" w:ascii="楷体" w:hAnsi="楷体" w:eastAsia="楷体" w:cs="楷体"/>
          <w:color w:val="auto"/>
          <w:sz w:val="21"/>
          <w:szCs w:val="21"/>
          <w:highlight w:val="none"/>
          <w:lang w:eastAsia="zh-CN"/>
        </w:rPr>
        <w:t>每个开放日结束后两个工作日内，披露开放式公募理财产品在开放日的份额净值、份额累计净值、认（申）购价格和赎回价格</w:t>
      </w:r>
      <w:r>
        <w:rPr>
          <w:rFonts w:hint="eastAsia" w:ascii="楷体" w:hAnsi="楷体" w:eastAsia="楷体" w:cs="楷体"/>
          <w:color w:val="auto"/>
          <w:sz w:val="21"/>
          <w:szCs w:val="21"/>
          <w:highlight w:val="none"/>
          <w:lang w:val="en-US" w:eastAsia="zh-CN"/>
        </w:rPr>
        <w:t>；私募产品至少每季度向投资者披露一次产品的份额净值、份额累计净值、资产净值，以管理人实际披露为准；现金管理类产品在每个开放日披露上一开放日每万份收益和七日年化收益率。</w:t>
      </w:r>
    </w:p>
    <w:p>
      <w:pPr>
        <w:numPr>
          <w:ilvl w:val="0"/>
          <w:numId w:val="12"/>
        </w:numPr>
        <w:tabs>
          <w:tab w:val="left" w:pos="728"/>
        </w:tabs>
        <w:ind w:left="0" w:firstLine="420"/>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发行公告：管理人在产品成立后5个工作日内，披露产品成立公告，内容包括理财产品成立日期和募集规模等信息。</w:t>
      </w:r>
    </w:p>
    <w:p>
      <w:pPr>
        <w:numPr>
          <w:ilvl w:val="0"/>
          <w:numId w:val="12"/>
        </w:numPr>
        <w:tabs>
          <w:tab w:val="left" w:pos="728"/>
        </w:tabs>
        <w:ind w:left="0" w:firstLine="420"/>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定期公告：管理人在每个季度结束之日起15个工作日内</w:t>
      </w:r>
      <w:r>
        <w:rPr>
          <w:rFonts w:hint="eastAsia" w:ascii="楷体" w:hAnsi="楷体" w:eastAsia="楷体" w:cs="楷体"/>
          <w:color w:val="auto"/>
          <w:sz w:val="21"/>
          <w:szCs w:val="21"/>
          <w:highlight w:val="none"/>
          <w:lang w:val="en-US" w:eastAsia="zh-CN"/>
        </w:rPr>
        <w:t>披露产品的季度报告，每年8月31日前披露产品的半年度报告，每年4月30日前披露产品上一年度的年度报告。</w:t>
      </w:r>
      <w:r>
        <w:rPr>
          <w:rFonts w:hint="eastAsia" w:ascii="楷体" w:hAnsi="楷体" w:eastAsia="楷体" w:cs="楷体"/>
          <w:color w:val="auto"/>
          <w:sz w:val="21"/>
          <w:szCs w:val="21"/>
          <w:highlight w:val="none"/>
        </w:rPr>
        <w:t>产品成立不足90个</w:t>
      </w:r>
      <w:r>
        <w:rPr>
          <w:rFonts w:hint="eastAsia" w:ascii="楷体" w:hAnsi="楷体" w:eastAsia="楷体" w:cs="楷体"/>
          <w:color w:val="auto"/>
          <w:sz w:val="21"/>
          <w:szCs w:val="21"/>
          <w:highlight w:val="none"/>
          <w:lang w:val="en-US" w:eastAsia="zh-CN"/>
        </w:rPr>
        <w:t>自然日</w:t>
      </w:r>
      <w:r>
        <w:rPr>
          <w:rFonts w:hint="eastAsia" w:ascii="楷体" w:hAnsi="楷体" w:eastAsia="楷体" w:cs="楷体"/>
          <w:color w:val="auto"/>
          <w:sz w:val="21"/>
          <w:szCs w:val="21"/>
          <w:highlight w:val="none"/>
        </w:rPr>
        <w:t>的，管理人</w:t>
      </w:r>
      <w:r>
        <w:rPr>
          <w:rFonts w:hint="eastAsia" w:ascii="楷体" w:hAnsi="楷体" w:eastAsia="楷体" w:cs="楷体"/>
          <w:color w:val="auto"/>
          <w:sz w:val="21"/>
          <w:szCs w:val="21"/>
          <w:highlight w:val="none"/>
          <w:lang w:val="en-US" w:eastAsia="zh-CN"/>
        </w:rPr>
        <w:t>可以</w:t>
      </w:r>
      <w:r>
        <w:rPr>
          <w:rFonts w:hint="eastAsia" w:ascii="楷体" w:hAnsi="楷体" w:eastAsia="楷体" w:cs="楷体"/>
          <w:color w:val="auto"/>
          <w:sz w:val="21"/>
          <w:szCs w:val="21"/>
          <w:highlight w:val="none"/>
        </w:rPr>
        <w:t>不编制当期的季度、半年和年度报告；内容包括理财产品的存续规模、收益表现，</w:t>
      </w:r>
      <w:r>
        <w:rPr>
          <w:rFonts w:hint="eastAsia" w:ascii="楷体" w:hAnsi="楷体" w:eastAsia="楷体" w:cs="楷体"/>
          <w:color w:val="auto"/>
          <w:sz w:val="21"/>
          <w:szCs w:val="21"/>
          <w:highlight w:val="none"/>
          <w:lang w:val="en-US" w:eastAsia="zh-CN"/>
        </w:rPr>
        <w:t>产品主要投资资产情况</w:t>
      </w:r>
      <w:r>
        <w:rPr>
          <w:rFonts w:hint="eastAsia" w:ascii="楷体" w:hAnsi="楷体" w:eastAsia="楷体" w:cs="楷体"/>
          <w:color w:val="auto"/>
          <w:sz w:val="21"/>
          <w:szCs w:val="21"/>
          <w:highlight w:val="none"/>
        </w:rPr>
        <w:t>、投资组合的流动性风险分析，以及前十项资产具体名称、规模和比例等信息。针对现金管理类产品，管理人将在理财产品的半年和年度报告中披露理财产品前10名投资者的类别、持有份额及占总份额的比例等信息。现金管理类产品存续期间，如出现单一投资者持有产品份额达到或者超过该产品总份额20%的情形，为保障其他投资者的权益，管理人将在定期报告中披露该投资者的类别、持有份额及占比、持有份额变化情况及产品风险等信息，监管机构认定的特殊情形除外。</w:t>
      </w:r>
    </w:p>
    <w:p>
      <w:pPr>
        <w:numPr>
          <w:ilvl w:val="0"/>
          <w:numId w:val="12"/>
        </w:numPr>
        <w:tabs>
          <w:tab w:val="left" w:pos="728"/>
        </w:tabs>
        <w:ind w:left="0" w:firstLine="420"/>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到期公告：</w:t>
      </w:r>
      <w:r>
        <w:rPr>
          <w:rFonts w:hint="eastAsia" w:ascii="楷体" w:hAnsi="楷体" w:eastAsia="楷体" w:cs="Calibri"/>
          <w:color w:val="auto"/>
          <w:sz w:val="21"/>
          <w:szCs w:val="21"/>
          <w:highlight w:val="none"/>
        </w:rPr>
        <w:t>管理人在产品终止后5个工作日内，披露产品到期公告，内容包括理财产品的存续期限、终止日期、收费情况和收益分配情况等信息。</w:t>
      </w:r>
    </w:p>
    <w:p>
      <w:pPr>
        <w:numPr>
          <w:ilvl w:val="0"/>
          <w:numId w:val="12"/>
        </w:numPr>
        <w:tabs>
          <w:tab w:val="left" w:pos="728"/>
        </w:tabs>
        <w:ind w:left="0" w:firstLine="420"/>
        <w:rPr>
          <w:rFonts w:hint="eastAsia" w:ascii="楷体" w:hAnsi="楷体" w:eastAsia="楷体"/>
          <w:b w:val="0"/>
          <w:bCs w:val="0"/>
          <w:sz w:val="21"/>
          <w:szCs w:val="21"/>
          <w:highlight w:val="none"/>
          <w:lang w:val="en-US" w:eastAsia="zh-CN"/>
        </w:rPr>
      </w:pPr>
      <w:r>
        <w:rPr>
          <w:rFonts w:hint="eastAsia" w:ascii="楷体" w:hAnsi="楷体" w:eastAsia="楷体" w:cs="Calibri"/>
          <w:color w:val="auto"/>
          <w:sz w:val="21"/>
          <w:szCs w:val="21"/>
          <w:highlight w:val="none"/>
        </w:rPr>
        <w:t>临时性信息：管理人将及时披露国务院银行业监督管理机构规定的其他信息。</w:t>
      </w:r>
    </w:p>
    <w:p>
      <w:pPr>
        <w:numPr>
          <w:ilvl w:val="0"/>
          <w:numId w:val="12"/>
        </w:numPr>
        <w:tabs>
          <w:tab w:val="left" w:pos="728"/>
        </w:tabs>
        <w:ind w:left="0" w:firstLine="420"/>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半年度整体报告：每半年披露从事理财业务活动的有关信息。</w:t>
      </w:r>
    </w:p>
    <w:p>
      <w:pPr>
        <w:numPr>
          <w:ilvl w:val="0"/>
          <w:numId w:val="12"/>
        </w:numPr>
        <w:tabs>
          <w:tab w:val="left" w:pos="728"/>
        </w:tabs>
        <w:ind w:left="0" w:firstLine="420"/>
        <w:rPr>
          <w:rFonts w:hint="eastAsia" w:ascii="楷体" w:hAnsi="楷体" w:eastAsia="楷体" w:cs="楷体"/>
          <w:sz w:val="21"/>
          <w:szCs w:val="21"/>
          <w:highlight w:val="none"/>
        </w:rPr>
      </w:pPr>
      <w:r>
        <w:rPr>
          <w:rFonts w:hint="eastAsia" w:ascii="楷体" w:hAnsi="楷体" w:eastAsia="楷体" w:cs="楷体"/>
          <w:color w:val="auto"/>
          <w:sz w:val="21"/>
          <w:szCs w:val="21"/>
          <w:highlight w:val="none"/>
        </w:rPr>
        <w:t>理财账单：管理人每月向投资者提供其所持有的理财产品账单，账单内容包括但不限于投资者持有的理财产品份额、认购金额、份额</w:t>
      </w:r>
      <w:r>
        <w:rPr>
          <w:rFonts w:hint="eastAsia" w:ascii="楷体" w:hAnsi="楷体" w:eastAsia="楷体" w:cs="楷体"/>
          <w:color w:val="auto"/>
          <w:sz w:val="21"/>
          <w:szCs w:val="21"/>
          <w:highlight w:val="none"/>
          <w:lang w:val="en-US" w:eastAsia="zh-CN"/>
        </w:rPr>
        <w:t>单位</w:t>
      </w:r>
      <w:r>
        <w:rPr>
          <w:rFonts w:hint="eastAsia" w:ascii="楷体" w:hAnsi="楷体" w:eastAsia="楷体" w:cs="楷体"/>
          <w:color w:val="auto"/>
          <w:sz w:val="21"/>
          <w:szCs w:val="21"/>
          <w:highlight w:val="none"/>
        </w:rPr>
        <w:t>净值、份额累计净值、资产净值、收益情况、投资者理财交易账户发生的交易明细记录等信息。</w:t>
      </w:r>
    </w:p>
    <w:p>
      <w:pPr>
        <w:keepNext w:val="0"/>
        <w:keepLines w:val="0"/>
        <w:pageBreakBefore w:val="0"/>
        <w:numPr>
          <w:ilvl w:val="0"/>
          <w:numId w:val="2"/>
        </w:numPr>
        <w:tabs>
          <w:tab w:val="left" w:pos="1134"/>
        </w:tabs>
        <w:bidi w:val="0"/>
        <w:spacing w:line="240" w:lineRule="auto"/>
        <w:ind w:left="0" w:firstLine="422"/>
        <w:rPr>
          <w:rFonts w:hint="eastAsia" w:ascii="楷体" w:hAnsi="楷体" w:eastAsia="楷体" w:cs="楷体"/>
          <w:b/>
          <w:color w:val="auto"/>
          <w:sz w:val="21"/>
          <w:szCs w:val="21"/>
          <w:highlight w:val="none"/>
        </w:rPr>
      </w:pPr>
      <w:r>
        <w:rPr>
          <w:rFonts w:hint="eastAsia" w:ascii="楷体" w:hAnsi="楷体" w:eastAsia="楷体" w:cs="楷体"/>
          <w:b/>
          <w:color w:val="auto"/>
          <w:sz w:val="21"/>
          <w:szCs w:val="21"/>
          <w:highlight w:val="none"/>
        </w:rPr>
        <w:t>其他</w:t>
      </w:r>
    </w:p>
    <w:p>
      <w:pPr>
        <w:numPr>
          <w:ilvl w:val="0"/>
          <w:numId w:val="13"/>
        </w:numPr>
        <w:tabs>
          <w:tab w:val="left" w:pos="993"/>
        </w:tabs>
        <w:ind w:left="0" w:firstLine="420"/>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追索条款</w:t>
      </w:r>
    </w:p>
    <w:p>
      <w:pPr>
        <w:ind w:firstLine="420"/>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若本理财产品所投资的金融资产到期不能全部偿付导致资产减值甚至本金大幅损失，则苏银理财将以管理人名义，代表理财产品投资者利益行使诉讼权利或者实施其他权利救济措施。</w:t>
      </w:r>
    </w:p>
    <w:p>
      <w:pPr>
        <w:numPr>
          <w:ilvl w:val="0"/>
          <w:numId w:val="13"/>
        </w:numPr>
        <w:tabs>
          <w:tab w:val="left" w:pos="993"/>
        </w:tabs>
        <w:ind w:left="0" w:firstLine="420"/>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信息安全</w:t>
      </w:r>
    </w:p>
    <w:p>
      <w:pPr>
        <w:ind w:firstLine="420"/>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苏银理财及</w:t>
      </w:r>
      <w:r>
        <w:rPr>
          <w:rFonts w:hint="eastAsia" w:ascii="楷体" w:hAnsi="楷体" w:eastAsia="楷体" w:cs="楷体"/>
          <w:color w:val="auto"/>
          <w:sz w:val="21"/>
          <w:szCs w:val="21"/>
          <w:highlight w:val="none"/>
          <w:lang w:val="en-US" w:eastAsia="zh-CN"/>
        </w:rPr>
        <w:t>销售</w:t>
      </w:r>
      <w:r>
        <w:rPr>
          <w:rFonts w:hint="eastAsia" w:ascii="楷体" w:hAnsi="楷体" w:eastAsia="楷体" w:cs="楷体"/>
          <w:color w:val="auto"/>
          <w:sz w:val="21"/>
          <w:szCs w:val="21"/>
          <w:highlight w:val="none"/>
        </w:rPr>
        <w:t>机构将据相关法律、法规严格履行投资者信息保密责任，除监管机构或司法机关等有权机构外，不得对其他第三方提供任何投资者信息。</w:t>
      </w:r>
    </w:p>
    <w:p>
      <w:pPr>
        <w:numPr>
          <w:ilvl w:val="0"/>
          <w:numId w:val="13"/>
        </w:numPr>
        <w:tabs>
          <w:tab w:val="left" w:pos="993"/>
        </w:tabs>
        <w:ind w:left="0" w:firstLine="420"/>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争议解决</w:t>
      </w:r>
    </w:p>
    <w:p>
      <w:pPr>
        <w:keepNext w:val="0"/>
        <w:keepLines w:val="0"/>
        <w:pageBreakBefore w:val="0"/>
        <w:bidi w:val="0"/>
        <w:spacing w:line="240" w:lineRule="auto"/>
        <w:ind w:firstLine="420"/>
        <w:jc w:val="left"/>
        <w:rPr>
          <w:rFonts w:hint="eastAsia" w:ascii="楷体" w:hAnsi="楷体" w:eastAsia="楷体" w:cs="楷体"/>
          <w:highlight w:val="none"/>
        </w:rPr>
      </w:pPr>
      <w:r>
        <w:rPr>
          <w:rFonts w:hint="eastAsia" w:ascii="楷体" w:hAnsi="楷体" w:eastAsia="楷体" w:cs="楷体"/>
          <w:b w:val="0"/>
          <w:bCs w:val="0"/>
          <w:color w:val="auto"/>
          <w:sz w:val="21"/>
          <w:szCs w:val="21"/>
          <w:highlight w:val="none"/>
          <w:lang w:val="en-US" w:eastAsia="zh-CN"/>
        </w:rPr>
        <w:t>本产品说明书</w:t>
      </w:r>
      <w:r>
        <w:rPr>
          <w:rFonts w:hint="eastAsia" w:ascii="楷体" w:hAnsi="楷体" w:eastAsia="楷体" w:cs="楷体"/>
          <w:b w:val="0"/>
          <w:bCs w:val="0"/>
          <w:color w:val="auto"/>
          <w:sz w:val="21"/>
          <w:szCs w:val="21"/>
          <w:highlight w:val="none"/>
        </w:rPr>
        <w:t>的订立、生效、履行、解释、修改和终止等事项均适用中华人民共和国（为本合同目的，不包括香港特别行政区、澳门特别行政区和台湾地区）法律。</w:t>
      </w:r>
      <w:r>
        <w:rPr>
          <w:rFonts w:hint="eastAsia" w:ascii="楷体" w:hAnsi="楷体" w:eastAsia="楷体" w:cs="楷体"/>
          <w:b w:val="0"/>
          <w:bCs w:val="0"/>
          <w:color w:val="auto"/>
          <w:sz w:val="21"/>
          <w:szCs w:val="21"/>
          <w:highlight w:val="none"/>
          <w:lang w:val="en-US" w:eastAsia="zh-CN"/>
        </w:rPr>
        <w:t>因本产品说明书</w:t>
      </w:r>
      <w:r>
        <w:rPr>
          <w:rFonts w:hint="eastAsia" w:ascii="楷体" w:hAnsi="楷体" w:eastAsia="楷体" w:cs="楷体"/>
          <w:b w:val="0"/>
          <w:bCs w:val="0"/>
          <w:color w:val="auto"/>
          <w:sz w:val="21"/>
          <w:szCs w:val="21"/>
          <w:highlight w:val="none"/>
        </w:rPr>
        <w:t>引起的或与</w:t>
      </w:r>
      <w:r>
        <w:rPr>
          <w:rFonts w:hint="eastAsia" w:ascii="楷体" w:hAnsi="楷体" w:eastAsia="楷体" w:cs="楷体"/>
          <w:b w:val="0"/>
          <w:bCs w:val="0"/>
          <w:color w:val="auto"/>
          <w:sz w:val="21"/>
          <w:szCs w:val="21"/>
          <w:highlight w:val="none"/>
          <w:lang w:val="en-US" w:eastAsia="zh-CN"/>
        </w:rPr>
        <w:t>本产品说明书</w:t>
      </w:r>
      <w:r>
        <w:rPr>
          <w:rFonts w:hint="eastAsia" w:ascii="楷体" w:hAnsi="楷体" w:eastAsia="楷体" w:cs="楷体"/>
          <w:b w:val="0"/>
          <w:bCs w:val="0"/>
          <w:color w:val="auto"/>
          <w:sz w:val="21"/>
          <w:szCs w:val="21"/>
          <w:highlight w:val="none"/>
        </w:rPr>
        <w:t>有关的任何争议，应当首先通过双方之间的友好协商解决；协商不成的，双方均有权提交产品管理人住所地有管辖权的人民法院诉讼解决。</w:t>
      </w:r>
    </w:p>
    <w:sectPr>
      <w:headerReference r:id="rId5" w:type="first"/>
      <w:headerReference r:id="rId3" w:type="default"/>
      <w:footerReference r:id="rId6" w:type="default"/>
      <w:headerReference r:id="rId4" w:type="even"/>
      <w:pgSz w:w="11906" w:h="16838"/>
      <w:pgMar w:top="1440" w:right="1134" w:bottom="1440" w:left="1134" w:header="851" w:footer="992" w:gutter="0"/>
      <w:cols w:space="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楷体">
    <w:panose1 w:val="02010609060101010101"/>
    <w:charset w:val="86"/>
    <w:family w:val="auto"/>
    <w:pitch w:val="default"/>
    <w:sig w:usb0="800002BF" w:usb1="38CF7CFA" w:usb2="00000016" w:usb3="00000000" w:csb0="00040001" w:csb1="00000000"/>
  </w:font>
  <w:font w:name="浠垮畫">
    <w:altName w:val="方正仿宋简体"/>
    <w:panose1 w:val="00000000000000000000"/>
    <w:charset w:val="86"/>
    <w:family w:val="auto"/>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8</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38</w:t>
    </w:r>
    <w:r>
      <w:rPr>
        <w:b/>
        <w:bCs/>
        <w:sz w:val="24"/>
        <w:szCs w:val="24"/>
      </w:rPr>
      <w:fldChar w:fldCharType="end"/>
    </w:r>
  </w:p>
  <w:p>
    <w:pPr>
      <w:pStyle w:val="1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0" w:line="320" w:lineRule="exact"/>
      <w:ind w:left="20"/>
      <w:jc w:val="both"/>
      <w:rPr>
        <w:rFonts w:ascii="楷体" w:hAnsi="楷体" w:eastAsia="楷体" w:cs="黑体"/>
        <w:b/>
        <w:spacing w:val="-2"/>
        <w:sz w:val="24"/>
        <w:szCs w:val="24"/>
      </w:rPr>
    </w:pPr>
    <w:r>
      <w:drawing>
        <wp:anchor distT="0" distB="0" distL="114300" distR="114300" simplePos="0" relativeHeight="251659264" behindDoc="0" locked="0" layoutInCell="1" allowOverlap="1">
          <wp:simplePos x="0" y="0"/>
          <wp:positionH relativeFrom="column">
            <wp:posOffset>4965065</wp:posOffset>
          </wp:positionH>
          <wp:positionV relativeFrom="paragraph">
            <wp:posOffset>-94615</wp:posOffset>
          </wp:positionV>
          <wp:extent cx="1325245" cy="424815"/>
          <wp:effectExtent l="0" t="0" r="0" b="0"/>
          <wp:wrapSquare wrapText="bothSides"/>
          <wp:docPr id="39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9" name="图片 1"/>
                  <pic:cNvPicPr>
                    <a:picLocks noChangeAspect="1"/>
                  </pic:cNvPicPr>
                </pic:nvPicPr>
                <pic:blipFill>
                  <a:blip r:embed="rId1"/>
                  <a:stretch>
                    <a:fillRect/>
                  </a:stretch>
                </pic:blipFill>
                <pic:spPr>
                  <a:xfrm>
                    <a:off x="0" y="0"/>
                    <a:ext cx="1325245" cy="424815"/>
                  </a:xfrm>
                  <a:prstGeom prst="rect">
                    <a:avLst/>
                  </a:prstGeom>
                  <a:noFill/>
                  <a:ln>
                    <a:noFill/>
                  </a:ln>
                </pic:spPr>
              </pic:pic>
            </a:graphicData>
          </a:graphic>
        </wp:anchor>
      </w:drawing>
    </w:r>
    <w:r>
      <w:rPr>
        <w:rFonts w:ascii="楷体" w:hAnsi="楷体" w:eastAsia="楷体"/>
        <w:b/>
      </w:rPr>
      <w:drawing>
        <wp:anchor distT="0" distB="0" distL="114300" distR="114300" simplePos="0" relativeHeight="251660288" behindDoc="1" locked="0" layoutInCell="0" allowOverlap="1">
          <wp:simplePos x="0" y="0"/>
          <wp:positionH relativeFrom="margin">
            <wp:posOffset>-4011295</wp:posOffset>
          </wp:positionH>
          <wp:positionV relativeFrom="margin">
            <wp:posOffset>-1028700</wp:posOffset>
          </wp:positionV>
          <wp:extent cx="14449425" cy="10958195"/>
          <wp:effectExtent l="0" t="0" r="0" b="0"/>
          <wp:wrapNone/>
          <wp:docPr id="400" name="WordPictureWatermark367128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0" name="WordPictureWatermark367128483"/>
                  <pic:cNvPicPr>
                    <a:picLocks noChangeAspect="1"/>
                  </pic:cNvPicPr>
                </pic:nvPicPr>
                <pic:blipFill>
                  <a:blip r:embed="rId2"/>
                  <a:stretch>
                    <a:fillRect/>
                  </a:stretch>
                </pic:blipFill>
                <pic:spPr>
                  <a:xfrm>
                    <a:off x="0" y="0"/>
                    <a:ext cx="14449425" cy="10958195"/>
                  </a:xfrm>
                  <a:prstGeom prst="rect">
                    <a:avLst/>
                  </a:prstGeom>
                  <a:noFill/>
                  <a:ln>
                    <a:noFill/>
                  </a:ln>
                </pic:spPr>
              </pic:pic>
            </a:graphicData>
          </a:graphic>
        </wp:anchor>
      </w:drawing>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Pr>
    <w:r>
      <w:drawing>
        <wp:anchor distT="0" distB="0" distL="114300" distR="114300" simplePos="0" relativeHeight="251660288" behindDoc="1" locked="0" layoutInCell="0" allowOverlap="1">
          <wp:simplePos x="0" y="0"/>
          <wp:positionH relativeFrom="margin">
            <wp:align>center</wp:align>
          </wp:positionH>
          <wp:positionV relativeFrom="margin">
            <wp:align>center</wp:align>
          </wp:positionV>
          <wp:extent cx="14444345" cy="10958195"/>
          <wp:effectExtent l="0" t="0" r="0" b="0"/>
          <wp:wrapNone/>
          <wp:docPr id="398" name="WordPictureWatermark367128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8" name="WordPictureWatermark367128482"/>
                  <pic:cNvPicPr>
                    <a:picLocks noChangeAspect="1"/>
                  </pic:cNvPicPr>
                </pic:nvPicPr>
                <pic:blipFill>
                  <a:blip r:embed="rId1"/>
                  <a:stretch>
                    <a:fillRect/>
                  </a:stretch>
                </pic:blipFill>
                <pic:spPr>
                  <a:xfrm>
                    <a:off x="0" y="0"/>
                    <a:ext cx="14444345" cy="10958195"/>
                  </a:xfrm>
                  <a:prstGeom prst="rect">
                    <a:avLst/>
                  </a:prstGeom>
                  <a:noFill/>
                  <a:ln>
                    <a:noFill/>
                  </a:ln>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Pr>
    <w:r>
      <w:drawing>
        <wp:anchor distT="0" distB="0" distL="114300" distR="114300" simplePos="0" relativeHeight="251660288" behindDoc="1" locked="0" layoutInCell="0" allowOverlap="1">
          <wp:simplePos x="0" y="0"/>
          <wp:positionH relativeFrom="margin">
            <wp:align>center</wp:align>
          </wp:positionH>
          <wp:positionV relativeFrom="margin">
            <wp:align>center</wp:align>
          </wp:positionV>
          <wp:extent cx="14444345" cy="10958195"/>
          <wp:effectExtent l="0" t="0" r="0" b="0"/>
          <wp:wrapNone/>
          <wp:docPr id="401" name="WordPictureWatermark367128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1" name="WordPictureWatermark367128481"/>
                  <pic:cNvPicPr>
                    <a:picLocks noChangeAspect="1"/>
                  </pic:cNvPicPr>
                </pic:nvPicPr>
                <pic:blipFill>
                  <a:blip r:embed="rId1"/>
                  <a:stretch>
                    <a:fillRect/>
                  </a:stretch>
                </pic:blipFill>
                <pic:spPr>
                  <a:xfrm>
                    <a:off x="0" y="0"/>
                    <a:ext cx="14444345" cy="10958195"/>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5EC3C5"/>
    <w:multiLevelType w:val="multilevel"/>
    <w:tmpl w:val="825EC3C5"/>
    <w:lvl w:ilvl="0" w:tentative="0">
      <w:start w:val="1"/>
      <w:numFmt w:val="decimal"/>
      <w:suff w:val="nothing"/>
      <w:lvlText w:val="%1."/>
      <w:lvlJc w:val="left"/>
      <w:pPr>
        <w:tabs>
          <w:tab w:val="left" w:pos="0"/>
        </w:tabs>
        <w:ind w:left="0" w:firstLine="0"/>
      </w:pPr>
      <w:rPr>
        <w:rFonts w:hint="default"/>
      </w:rPr>
    </w:lvl>
    <w:lvl w:ilvl="1" w:tentative="0">
      <w:start w:val="0"/>
      <w:numFmt w:val="bullet"/>
      <w:lvlText w:val=""/>
      <w:lvlJc w:val="left"/>
    </w:lvl>
    <w:lvl w:ilvl="2" w:tentative="0">
      <w:start w:val="0"/>
      <w:numFmt w:val="bullet"/>
      <w:lvlText w:val=""/>
      <w:lvlJc w:val="left"/>
    </w:lvl>
    <w:lvl w:ilvl="3" w:tentative="0">
      <w:start w:val="0"/>
      <w:numFmt w:val="bullet"/>
      <w:lvlText w:val=""/>
      <w:lvlJc w:val="left"/>
    </w:lvl>
    <w:lvl w:ilvl="4" w:tentative="0">
      <w:start w:val="0"/>
      <w:numFmt w:val="bullet"/>
      <w:lvlText w:val=""/>
      <w:lvlJc w:val="left"/>
    </w:lvl>
    <w:lvl w:ilvl="5" w:tentative="0">
      <w:start w:val="0"/>
      <w:numFmt w:val="bullet"/>
      <w:lvlText w:val=""/>
      <w:lvlJc w:val="left"/>
    </w:lvl>
    <w:lvl w:ilvl="6" w:tentative="0">
      <w:start w:val="0"/>
      <w:numFmt w:val="bullet"/>
      <w:lvlText w:val=""/>
      <w:lvlJc w:val="left"/>
    </w:lvl>
    <w:lvl w:ilvl="7" w:tentative="0">
      <w:start w:val="0"/>
      <w:numFmt w:val="bullet"/>
      <w:lvlText w:val=""/>
      <w:lvlJc w:val="left"/>
    </w:lvl>
    <w:lvl w:ilvl="8" w:tentative="0">
      <w:start w:val="0"/>
      <w:numFmt w:val="bullet"/>
      <w:lvlText w:val=""/>
      <w:lvlJc w:val="left"/>
    </w:lvl>
  </w:abstractNum>
  <w:abstractNum w:abstractNumId="1">
    <w:nsid w:val="883B3669"/>
    <w:multiLevelType w:val="multilevel"/>
    <w:tmpl w:val="883B3669"/>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9F81B9F9"/>
    <w:multiLevelType w:val="multilevel"/>
    <w:tmpl w:val="9F81B9F9"/>
    <w:lvl w:ilvl="0" w:tentative="0">
      <w:start w:val="1"/>
      <w:numFmt w:val="chineseCountingThousand"/>
      <w:lvlText w:val="(%1)"/>
      <w:lvlJc w:val="left"/>
      <w:pPr>
        <w:ind w:left="420" w:hanging="420"/>
      </w:pPr>
      <w:rPr>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A9AC3AA7"/>
    <w:multiLevelType w:val="multilevel"/>
    <w:tmpl w:val="A9AC3AA7"/>
    <w:lvl w:ilvl="0" w:tentative="0">
      <w:start w:val="1"/>
      <w:numFmt w:val="decimal"/>
      <w:suff w:val="nothing"/>
      <w:lvlText w:val="%1."/>
      <w:lvlJc w:val="left"/>
      <w:pPr>
        <w:tabs>
          <w:tab w:val="left" w:pos="420"/>
        </w:tabs>
        <w:ind w:left="420" w:hanging="420"/>
      </w:pPr>
      <w:rPr>
        <w:rFonts w:hint="default" w:eastAsia="楷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BF50FE6B"/>
    <w:multiLevelType w:val="multilevel"/>
    <w:tmpl w:val="BF50FE6B"/>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C90D1B09"/>
    <w:multiLevelType w:val="multilevel"/>
    <w:tmpl w:val="C90D1B09"/>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E0294EC7"/>
    <w:multiLevelType w:val="multilevel"/>
    <w:tmpl w:val="E0294EC7"/>
    <w:lvl w:ilvl="0" w:tentative="0">
      <w:start w:val="1"/>
      <w:numFmt w:val="decimalEnclosedCircleChinese"/>
      <w:suff w:val="nothing"/>
      <w:lvlText w:val="%1　"/>
      <w:lvlJc w:val="left"/>
      <w:pPr>
        <w:ind w:left="0" w:firstLine="400"/>
      </w:pPr>
      <w:rPr>
        <w:rFonts w:hint="default"/>
        <w:sz w:val="20"/>
        <w:u w:val="none"/>
      </w:rPr>
    </w:lvl>
    <w:lvl w:ilvl="1" w:tentative="0">
      <w:start w:val="0"/>
      <w:numFmt w:val="bullet"/>
      <w:lvlText w:val=""/>
      <w:lvlJc w:val="left"/>
      <w:rPr>
        <w:rFonts w:hint="default"/>
        <w:u w:val="none"/>
      </w:rPr>
    </w:lvl>
    <w:lvl w:ilvl="2" w:tentative="0">
      <w:start w:val="0"/>
      <w:numFmt w:val="bullet"/>
      <w:lvlText w:val=""/>
      <w:lvlJc w:val="left"/>
      <w:rPr>
        <w:rFonts w:hint="default"/>
        <w:u w:val="none"/>
      </w:rPr>
    </w:lvl>
    <w:lvl w:ilvl="3" w:tentative="0">
      <w:start w:val="0"/>
      <w:numFmt w:val="bullet"/>
      <w:lvlText w:val=""/>
      <w:lvlJc w:val="left"/>
      <w:rPr>
        <w:rFonts w:hint="default"/>
        <w:u w:val="none"/>
      </w:rPr>
    </w:lvl>
    <w:lvl w:ilvl="4" w:tentative="0">
      <w:start w:val="0"/>
      <w:numFmt w:val="bullet"/>
      <w:lvlText w:val=""/>
      <w:lvlJc w:val="left"/>
      <w:rPr>
        <w:rFonts w:hint="default"/>
        <w:u w:val="none"/>
      </w:rPr>
    </w:lvl>
    <w:lvl w:ilvl="5" w:tentative="0">
      <w:start w:val="0"/>
      <w:numFmt w:val="bullet"/>
      <w:lvlText w:val=""/>
      <w:lvlJc w:val="left"/>
      <w:rPr>
        <w:rFonts w:hint="default"/>
        <w:u w:val="none"/>
      </w:rPr>
    </w:lvl>
    <w:lvl w:ilvl="6" w:tentative="0">
      <w:start w:val="0"/>
      <w:numFmt w:val="bullet"/>
      <w:lvlText w:val=""/>
      <w:lvlJc w:val="left"/>
      <w:rPr>
        <w:rFonts w:hint="default"/>
        <w:u w:val="none"/>
      </w:rPr>
    </w:lvl>
    <w:lvl w:ilvl="7" w:tentative="0">
      <w:start w:val="0"/>
      <w:numFmt w:val="bullet"/>
      <w:lvlText w:val=""/>
      <w:lvlJc w:val="left"/>
      <w:rPr>
        <w:rFonts w:hint="default"/>
        <w:u w:val="none"/>
      </w:rPr>
    </w:lvl>
    <w:lvl w:ilvl="8" w:tentative="0">
      <w:start w:val="0"/>
      <w:numFmt w:val="bullet"/>
      <w:lvlText w:val=""/>
      <w:lvlJc w:val="left"/>
      <w:rPr>
        <w:rFonts w:hint="default"/>
        <w:u w:val="none"/>
      </w:rPr>
    </w:lvl>
  </w:abstractNum>
  <w:abstractNum w:abstractNumId="7">
    <w:nsid w:val="F4A942FE"/>
    <w:multiLevelType w:val="multilevel"/>
    <w:tmpl w:val="F4A942FE"/>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01836A6D"/>
    <w:multiLevelType w:val="multilevel"/>
    <w:tmpl w:val="01836A6D"/>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1AD50295"/>
    <w:multiLevelType w:val="multilevel"/>
    <w:tmpl w:val="1AD50295"/>
    <w:lvl w:ilvl="0" w:tentative="0">
      <w:start w:val="1"/>
      <w:numFmt w:val="chineseCountingThousand"/>
      <w:suff w:val="nothing"/>
      <w:lvlText w:val="%1、"/>
      <w:lvlJc w:val="left"/>
      <w:pPr>
        <w:ind w:left="0" w:firstLine="40"/>
      </w:pPr>
      <w:rPr>
        <w:rFonts w:hint="eastAsia"/>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0">
    <w:nsid w:val="4A51D704"/>
    <w:multiLevelType w:val="multilevel"/>
    <w:tmpl w:val="4A51D704"/>
    <w:lvl w:ilvl="0" w:tentative="0">
      <w:start w:val="1"/>
      <w:numFmt w:val="decimal"/>
      <w:suff w:val="nothing"/>
      <w:lvlText w:val="%1."/>
      <w:lvlJc w:val="left"/>
      <w:pPr>
        <w:tabs>
          <w:tab w:val="left" w:pos="420"/>
        </w:tabs>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5FCE4367"/>
    <w:multiLevelType w:val="multilevel"/>
    <w:tmpl w:val="5FCE4367"/>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
    <w:nsid w:val="610EFE5C"/>
    <w:multiLevelType w:val="multilevel"/>
    <w:tmpl w:val="610EFE5C"/>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6"/>
  </w:num>
  <w:num w:numId="2">
    <w:abstractNumId w:val="9"/>
  </w:num>
  <w:num w:numId="3">
    <w:abstractNumId w:val="10"/>
  </w:num>
  <w:num w:numId="4">
    <w:abstractNumId w:val="3"/>
  </w:num>
  <w:num w:numId="5">
    <w:abstractNumId w:val="12"/>
  </w:num>
  <w:num w:numId="6">
    <w:abstractNumId w:val="0"/>
  </w:num>
  <w:num w:numId="7">
    <w:abstractNumId w:val="1"/>
  </w:num>
  <w:num w:numId="8">
    <w:abstractNumId w:val="8"/>
  </w:num>
  <w:num w:numId="9">
    <w:abstractNumId w:val="2"/>
  </w:num>
  <w:num w:numId="10">
    <w:abstractNumId w:val="4"/>
  </w:num>
  <w:num w:numId="11">
    <w:abstractNumId w:val="5"/>
  </w:num>
  <w:num w:numId="12">
    <w:abstractNumId w:val="7"/>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doNotTrackMoves/>
  <w:documentProtection w:enforcement="0"/>
  <w:defaultTabStop w:val="420"/>
  <w:characterSpacingControl w:val="doNotCompress"/>
  <w:compat>
    <w:balanceSingleByteDoubleByteWidth/>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E651229"/>
    <w:rsid w:val="0F4474BD"/>
    <w:rsid w:val="14A16D42"/>
    <w:rsid w:val="1B0568CC"/>
    <w:rsid w:val="24763A6D"/>
    <w:rsid w:val="2BA6776C"/>
    <w:rsid w:val="37B62A2F"/>
    <w:rsid w:val="3FF30C17"/>
    <w:rsid w:val="41832714"/>
    <w:rsid w:val="52852528"/>
    <w:rsid w:val="57106A6E"/>
    <w:rsid w:val="581F10A0"/>
    <w:rsid w:val="6C164D5D"/>
    <w:rsid w:val="7547165D"/>
    <w:rsid w:val="7BDA2AB6"/>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semiHidden="0" w:name="caption"/>
    <w:lsdException w:qFormat="1" w:uiPriority="99" w:semiHidden="0" w:name="table of figures"/>
    <w:lsdException w:uiPriority="99" w:name="envelope address"/>
    <w:lsdException w:uiPriority="99" w:name="envelope return"/>
    <w:lsdException w:qFormat="1" w:uiPriority="99" w:name="footnote reference"/>
    <w:lsdException w:qFormat="1" w:uiPriority="99" w:semiHidden="0" w:name="annotation reference"/>
    <w:lsdException w:uiPriority="99" w:name="line number"/>
    <w:lsdException w:uiPriority="99" w:name="page number"/>
    <w:lsdException w:qFormat="1" w:uiPriority="99" w:name="endnote reference"/>
    <w:lsdException w:qFormat="1"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hint="default" w:ascii="宋体" w:hAnsi="宋体" w:eastAsia="宋体" w:cs="宋体"/>
      <w:sz w:val="28"/>
      <w:szCs w:val="22"/>
      <w:lang w:val="en-US" w:eastAsia="zh-CN" w:bidi="ar-SA"/>
    </w:rPr>
  </w:style>
  <w:style w:type="paragraph" w:styleId="4">
    <w:name w:val="heading 1"/>
    <w:basedOn w:val="1"/>
    <w:next w:val="1"/>
    <w:link w:val="204"/>
    <w:qFormat/>
    <w:uiPriority w:val="1"/>
    <w:pPr>
      <w:spacing w:before="17"/>
      <w:ind w:left="1144"/>
      <w:jc w:val="left"/>
      <w:outlineLvl w:val="0"/>
    </w:pPr>
    <w:rPr>
      <w:rFonts w:ascii="黑体" w:eastAsia="黑体"/>
      <w:b/>
      <w:bCs/>
      <w:sz w:val="36"/>
      <w:szCs w:val="36"/>
    </w:rPr>
  </w:style>
  <w:style w:type="paragraph" w:styleId="5">
    <w:name w:val="heading 2"/>
    <w:basedOn w:val="1"/>
    <w:next w:val="1"/>
    <w:link w:val="205"/>
    <w:qFormat/>
    <w:uiPriority w:val="9"/>
    <w:pPr>
      <w:keepNext/>
      <w:keepLines/>
      <w:spacing w:before="260" w:after="260" w:line="416" w:lineRule="auto"/>
      <w:outlineLvl w:val="1"/>
    </w:pPr>
    <w:rPr>
      <w:rFonts w:ascii="Cambria" w:hAnsi="Cambria"/>
      <w:b/>
      <w:bCs/>
      <w:sz w:val="32"/>
      <w:szCs w:val="32"/>
    </w:rPr>
  </w:style>
  <w:style w:type="paragraph" w:styleId="6">
    <w:name w:val="heading 3"/>
    <w:basedOn w:val="1"/>
    <w:next w:val="1"/>
    <w:link w:val="206"/>
    <w:qFormat/>
    <w:uiPriority w:val="1"/>
    <w:pPr>
      <w:spacing w:before="34"/>
      <w:ind w:left="120"/>
      <w:jc w:val="left"/>
      <w:outlineLvl w:val="2"/>
    </w:pPr>
    <w:rPr>
      <w:rFonts w:ascii="宋体"/>
      <w:b/>
      <w:bCs/>
      <w:sz w:val="20"/>
      <w:szCs w:val="21"/>
    </w:rPr>
  </w:style>
  <w:style w:type="paragraph" w:styleId="7">
    <w:name w:val="heading 4"/>
    <w:basedOn w:val="1"/>
    <w:next w:val="1"/>
    <w:link w:val="165"/>
    <w:unhideWhenUsed/>
    <w:qFormat/>
    <w:uiPriority w:val="9"/>
    <w:pPr>
      <w:keepNext/>
      <w:keepLines/>
      <w:spacing w:before="80" w:after="40"/>
      <w:outlineLvl w:val="3"/>
    </w:pPr>
    <w:rPr>
      <w:rFonts w:ascii="Arial" w:hAnsi="Arial" w:eastAsia="Arial" w:cs="Arial"/>
      <w:i/>
      <w:iCs/>
      <w:color w:val="2E75B6" w:themeColor="accent1" w:themeShade="BF"/>
    </w:rPr>
  </w:style>
  <w:style w:type="paragraph" w:styleId="8">
    <w:name w:val="heading 5"/>
    <w:basedOn w:val="1"/>
    <w:next w:val="1"/>
    <w:link w:val="166"/>
    <w:unhideWhenUsed/>
    <w:qFormat/>
    <w:uiPriority w:val="9"/>
    <w:pPr>
      <w:keepNext/>
      <w:keepLines/>
      <w:spacing w:before="80" w:after="40"/>
      <w:outlineLvl w:val="4"/>
    </w:pPr>
    <w:rPr>
      <w:rFonts w:ascii="Arial" w:hAnsi="Arial" w:eastAsia="Arial" w:cs="Arial"/>
      <w:color w:val="2E75B6" w:themeColor="accent1" w:themeShade="BF"/>
    </w:rPr>
  </w:style>
  <w:style w:type="paragraph" w:styleId="9">
    <w:name w:val="heading 6"/>
    <w:basedOn w:val="1"/>
    <w:next w:val="1"/>
    <w:link w:val="167"/>
    <w:unhideWhenUsed/>
    <w:qFormat/>
    <w:uiPriority w:val="9"/>
    <w:pPr>
      <w:keepNext/>
      <w:keepLines/>
      <w:spacing w:before="40" w:after="0"/>
      <w:outlineLvl w:val="5"/>
    </w:pPr>
    <w:rPr>
      <w:rFonts w:ascii="Arial" w:hAnsi="Arial" w:eastAsia="Arial" w:cs="Arial"/>
      <w:i/>
      <w:iCs/>
      <w:color w:val="595959" w:themeColor="text1" w:themeTint="A6"/>
      <w14:textFill>
        <w14:solidFill>
          <w14:schemeClr w14:val="tx1">
            <w14:lumMod w14:val="65000"/>
            <w14:lumOff w14:val="35000"/>
          </w14:schemeClr>
        </w14:solidFill>
      </w14:textFill>
    </w:rPr>
  </w:style>
  <w:style w:type="paragraph" w:styleId="10">
    <w:name w:val="heading 7"/>
    <w:basedOn w:val="1"/>
    <w:next w:val="1"/>
    <w:link w:val="168"/>
    <w:unhideWhenUsed/>
    <w:qFormat/>
    <w:uiPriority w:val="9"/>
    <w:pPr>
      <w:keepNext/>
      <w:keepLines/>
      <w:spacing w:before="40" w:after="0"/>
      <w:outlineLvl w:val="6"/>
    </w:pPr>
    <w:rPr>
      <w:rFonts w:ascii="Arial" w:hAnsi="Arial" w:eastAsia="Arial" w:cs="Arial"/>
      <w:color w:val="595959" w:themeColor="text1" w:themeTint="A6"/>
      <w14:textFill>
        <w14:solidFill>
          <w14:schemeClr w14:val="tx1">
            <w14:lumMod w14:val="65000"/>
            <w14:lumOff w14:val="35000"/>
          </w14:schemeClr>
        </w14:solidFill>
      </w14:textFill>
    </w:rPr>
  </w:style>
  <w:style w:type="paragraph" w:styleId="11">
    <w:name w:val="heading 8"/>
    <w:basedOn w:val="1"/>
    <w:next w:val="1"/>
    <w:link w:val="169"/>
    <w:unhideWhenUsed/>
    <w:qFormat/>
    <w:uiPriority w:val="9"/>
    <w:pPr>
      <w:keepNext/>
      <w:keepLines/>
      <w:spacing w:after="0"/>
      <w:outlineLvl w:val="7"/>
    </w:pPr>
    <w:rPr>
      <w:rFonts w:ascii="Arial" w:hAnsi="Arial" w:eastAsia="Arial" w:cs="Arial"/>
      <w:i/>
      <w:iCs/>
      <w:color w:val="262626" w:themeColor="text1" w:themeTint="D9"/>
      <w14:textFill>
        <w14:solidFill>
          <w14:schemeClr w14:val="tx1">
            <w14:lumMod w14:val="85000"/>
            <w14:lumOff w14:val="15000"/>
          </w14:schemeClr>
        </w14:solidFill>
      </w14:textFill>
    </w:rPr>
  </w:style>
  <w:style w:type="paragraph" w:styleId="12">
    <w:name w:val="heading 9"/>
    <w:basedOn w:val="1"/>
    <w:next w:val="1"/>
    <w:link w:val="170"/>
    <w:unhideWhenUsed/>
    <w:qFormat/>
    <w:uiPriority w:val="9"/>
    <w:pPr>
      <w:keepNext/>
      <w:keepLines/>
      <w:spacing w:after="0"/>
      <w:outlineLvl w:val="8"/>
    </w:pPr>
    <w:rPr>
      <w:rFonts w:ascii="Arial" w:hAnsi="Arial" w:eastAsia="Arial" w:cs="Arial"/>
      <w:i/>
      <w:iCs/>
      <w:color w:val="262626" w:themeColor="text1" w:themeTint="D9"/>
      <w14:textFill>
        <w14:solidFill>
          <w14:schemeClr w14:val="tx1">
            <w14:lumMod w14:val="85000"/>
            <w14:lumOff w14:val="15000"/>
          </w14:schemeClr>
        </w14:solidFill>
      </w14:textFill>
    </w:rPr>
  </w:style>
  <w:style w:type="character" w:default="1" w:styleId="30">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table" w:customStyle="1" w:styleId="2">
    <w:name w:val="Grid Table 4"/>
    <w:basedOn w:val="3"/>
    <w:qFormat/>
    <w:uiPriority w:val="59"/>
    <w:pPr>
      <w:spacing w:after="0" w:line="240" w:lineRule="auto"/>
    </w:pPr>
    <w:tblPr>
      <w:tblBorders>
        <w:top w:val="single" w:color="6E6E6E" w:themeColor="text1" w:themeTint="90" w:sz="4" w:space="0"/>
        <w:left w:val="single" w:color="6E6E6E" w:themeColor="text1" w:themeTint="90" w:sz="4" w:space="0"/>
        <w:bottom w:val="single" w:color="6E6E6E" w:themeColor="text1" w:themeTint="90" w:sz="4" w:space="0"/>
        <w:right w:val="single" w:color="6E6E6E" w:themeColor="text1" w:themeTint="90" w:sz="4" w:space="0"/>
        <w:insideH w:val="single" w:color="6E6E6E" w:themeColor="text1" w:themeTint="90" w:sz="4" w:space="0"/>
        <w:insideV w:val="single" w:color="6E6E6E" w:themeColor="text1" w:themeTint="90" w:sz="4" w:space="0"/>
      </w:tblBorders>
    </w:tblPr>
    <w:tblStylePr w:type="firstRow">
      <w:rPr>
        <w:rFonts w:ascii="Arial" w:hAnsi="Arial"/>
        <w:b/>
        <w:color w:val="FFFFFF"/>
        <w:sz w:val="22"/>
      </w:rPr>
      <w:tcPr>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000000" w:fill="000000"/>
      </w:tcPr>
    </w:tblStylePr>
    <w:tblStylePr w:type="lastRow">
      <w:rPr>
        <w:b/>
        <w:color w:val="404040"/>
      </w:rPr>
      <w:tcPr>
        <w:tcBorders>
          <w:top w:val="single" w:color="000000" w:themeColor="text1"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CACACA" w:fill="CACACA"/>
      </w:tcPr>
    </w:tblStylePr>
    <w:tblStylePr w:type="band2Vert"/>
    <w:tblStylePr w:type="band1Horz">
      <w:rPr>
        <w:rFonts w:ascii="Arial" w:hAnsi="Arial"/>
        <w:color w:val="404040"/>
        <w:sz w:val="22"/>
      </w:rPr>
      <w:tcPr>
        <w:shd w:val="clear" w:color="CACACA" w:fill="CACACA"/>
      </w:tcPr>
    </w:tblStylePr>
    <w:tblStylePr w:type="band2Horz"/>
    <w:tblStylePr w:type="neCell"/>
    <w:tblStylePr w:type="nwCell"/>
    <w:tblStylePr w:type="seCell"/>
    <w:tblStylePr w:type="swCell"/>
  </w:style>
  <w:style w:type="paragraph" w:styleId="13">
    <w:name w:val="caption"/>
    <w:basedOn w:val="1"/>
    <w:next w:val="1"/>
    <w:unhideWhenUsed/>
    <w:qFormat/>
    <w:uiPriority w:val="35"/>
    <w:pPr>
      <w:spacing w:after="200" w:line="240" w:lineRule="auto"/>
    </w:pPr>
    <w:rPr>
      <w:i/>
      <w:iCs/>
      <w:color w:val="44546A" w:themeColor="text2"/>
      <w:sz w:val="18"/>
      <w:szCs w:val="18"/>
      <w14:textFill>
        <w14:solidFill>
          <w14:schemeClr w14:val="tx2"/>
        </w14:solidFill>
      </w14:textFill>
    </w:rPr>
  </w:style>
  <w:style w:type="paragraph" w:styleId="14">
    <w:name w:val="annotation text"/>
    <w:basedOn w:val="1"/>
    <w:unhideWhenUsed/>
    <w:qFormat/>
    <w:uiPriority w:val="99"/>
    <w:pPr>
      <w:jc w:val="left"/>
    </w:pPr>
  </w:style>
  <w:style w:type="paragraph" w:styleId="15">
    <w:name w:val="Body Text"/>
    <w:basedOn w:val="1"/>
    <w:next w:val="1"/>
    <w:qFormat/>
    <w:uiPriority w:val="1"/>
    <w:pPr>
      <w:spacing w:before="162"/>
      <w:ind w:left="120"/>
      <w:jc w:val="left"/>
    </w:pPr>
    <w:rPr>
      <w:rFonts w:ascii="宋体"/>
      <w:sz w:val="20"/>
      <w:szCs w:val="21"/>
    </w:rPr>
  </w:style>
  <w:style w:type="paragraph" w:styleId="16">
    <w:name w:val="Date"/>
    <w:basedOn w:val="1"/>
    <w:next w:val="1"/>
    <w:unhideWhenUsed/>
    <w:qFormat/>
    <w:uiPriority w:val="99"/>
    <w:pPr>
      <w:ind w:left="100"/>
    </w:pPr>
  </w:style>
  <w:style w:type="paragraph" w:styleId="17">
    <w:name w:val="endnote text"/>
    <w:basedOn w:val="1"/>
    <w:semiHidden/>
    <w:unhideWhenUsed/>
    <w:qFormat/>
    <w:uiPriority w:val="99"/>
    <w:pPr>
      <w:spacing w:after="0" w:line="240" w:lineRule="auto"/>
    </w:pPr>
    <w:rPr>
      <w:sz w:val="20"/>
      <w:szCs w:val="20"/>
    </w:rPr>
  </w:style>
  <w:style w:type="paragraph" w:styleId="18">
    <w:name w:val="Balloon Text"/>
    <w:basedOn w:val="1"/>
    <w:unhideWhenUsed/>
    <w:qFormat/>
    <w:uiPriority w:val="99"/>
    <w:rPr>
      <w:sz w:val="18"/>
      <w:szCs w:val="18"/>
    </w:rPr>
  </w:style>
  <w:style w:type="paragraph" w:styleId="19">
    <w:name w:val="footer"/>
    <w:basedOn w:val="1"/>
    <w:unhideWhenUsed/>
    <w:qFormat/>
    <w:uiPriority w:val="99"/>
    <w:pPr>
      <w:tabs>
        <w:tab w:val="center" w:pos="4153"/>
        <w:tab w:val="right" w:pos="8306"/>
      </w:tabs>
      <w:jc w:val="left"/>
    </w:pPr>
    <w:rPr>
      <w:sz w:val="18"/>
      <w:szCs w:val="18"/>
    </w:rPr>
  </w:style>
  <w:style w:type="paragraph" w:styleId="20">
    <w:name w:val="header"/>
    <w:basedOn w:val="1"/>
    <w:unhideWhenUsed/>
    <w:qFormat/>
    <w:uiPriority w:val="99"/>
    <w:pPr>
      <w:pBdr>
        <w:bottom w:val="single" w:color="000000" w:sz="6" w:space="1"/>
      </w:pBdr>
      <w:tabs>
        <w:tab w:val="center" w:pos="4153"/>
        <w:tab w:val="right" w:pos="8306"/>
      </w:tabs>
      <w:jc w:val="center"/>
    </w:pPr>
    <w:rPr>
      <w:sz w:val="18"/>
      <w:szCs w:val="18"/>
    </w:rPr>
  </w:style>
  <w:style w:type="paragraph" w:styleId="21">
    <w:name w:val="Subtitle"/>
    <w:basedOn w:val="1"/>
    <w:next w:val="1"/>
    <w:qFormat/>
    <w:uiPriority w:val="11"/>
    <w:rPr>
      <w:color w:val="595959" w:themeColor="text1" w:themeTint="A6"/>
      <w:spacing w:val="15"/>
      <w:sz w:val="28"/>
      <w:szCs w:val="28"/>
      <w14:textFill>
        <w14:solidFill>
          <w14:schemeClr w14:val="tx1">
            <w14:lumMod w14:val="65000"/>
            <w14:lumOff w14:val="35000"/>
          </w14:schemeClr>
        </w14:solidFill>
      </w14:textFill>
    </w:rPr>
  </w:style>
  <w:style w:type="paragraph" w:styleId="22">
    <w:name w:val="footnote text"/>
    <w:basedOn w:val="1"/>
    <w:semiHidden/>
    <w:unhideWhenUsed/>
    <w:qFormat/>
    <w:uiPriority w:val="99"/>
    <w:pPr>
      <w:jc w:val="left"/>
    </w:pPr>
    <w:rPr>
      <w:sz w:val="18"/>
      <w:szCs w:val="18"/>
    </w:rPr>
  </w:style>
  <w:style w:type="paragraph" w:styleId="23">
    <w:name w:val="table of figures"/>
    <w:basedOn w:val="1"/>
    <w:next w:val="1"/>
    <w:unhideWhenUsed/>
    <w:qFormat/>
    <w:uiPriority w:val="99"/>
    <w:pPr>
      <w:spacing w:after="0" w:afterAutospacing="0"/>
    </w:pPr>
  </w:style>
  <w:style w:type="paragraph" w:styleId="24">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sz w:val="24"/>
      <w:szCs w:val="24"/>
    </w:rPr>
  </w:style>
  <w:style w:type="paragraph" w:styleId="25">
    <w:name w:val="Normal (Web)"/>
    <w:basedOn w:val="1"/>
    <w:unhideWhenUsed/>
    <w:qFormat/>
    <w:uiPriority w:val="99"/>
    <w:pPr>
      <w:widowControl/>
      <w:spacing w:before="100" w:beforeAutospacing="1" w:after="100" w:afterAutospacing="1"/>
      <w:jc w:val="left"/>
    </w:pPr>
    <w:rPr>
      <w:rFonts w:ascii="宋体" w:hAnsi="宋体" w:cs="宋体"/>
      <w:sz w:val="24"/>
      <w:szCs w:val="24"/>
    </w:rPr>
  </w:style>
  <w:style w:type="paragraph" w:styleId="26">
    <w:name w:val="Title"/>
    <w:basedOn w:val="1"/>
    <w:next w:val="1"/>
    <w:qFormat/>
    <w:uiPriority w:val="10"/>
    <w:pPr>
      <w:spacing w:after="80" w:line="240" w:lineRule="auto"/>
      <w:contextualSpacing/>
    </w:pPr>
    <w:rPr>
      <w:rFonts w:ascii="Arial" w:hAnsi="Arial" w:eastAsia="Arial" w:cs="Arial"/>
      <w:spacing w:val="-10"/>
      <w:sz w:val="56"/>
      <w:szCs w:val="56"/>
    </w:rPr>
  </w:style>
  <w:style w:type="paragraph" w:styleId="27">
    <w:name w:val="annotation subject"/>
    <w:basedOn w:val="14"/>
    <w:next w:val="14"/>
    <w:link w:val="213"/>
    <w:unhideWhenUsed/>
    <w:qFormat/>
    <w:uiPriority w:val="99"/>
    <w:rPr>
      <w:b/>
      <w:bCs/>
    </w:rPr>
  </w:style>
  <w:style w:type="paragraph" w:styleId="28">
    <w:name w:val="Body Text First Indent"/>
    <w:qFormat/>
    <w:uiPriority w:val="0"/>
    <w:pPr>
      <w:widowControl w:val="0"/>
      <w:spacing w:line="312" w:lineRule="auto"/>
      <w:ind w:left="860" w:firstLine="420"/>
      <w:jc w:val="both"/>
    </w:pPr>
    <w:rPr>
      <w:rFonts w:hint="default" w:ascii="Times New Roman" w:hAnsi="Times New Roman" w:eastAsia="宋体" w:cs="Times New Roman"/>
      <w:sz w:val="32"/>
      <w:szCs w:val="32"/>
      <w:lang w:val="en-US" w:eastAsia="zh-CN" w:bidi="ar-SA"/>
    </w:rPr>
  </w:style>
  <w:style w:type="table" w:styleId="29">
    <w:name w:val="Table Grid"/>
    <w:basedOn w:val="3"/>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character" w:styleId="31">
    <w:name w:val="Strong"/>
    <w:qFormat/>
    <w:uiPriority w:val="22"/>
    <w:rPr>
      <w:rFonts w:ascii="Times New Roman" w:hAnsi="Times New Roman" w:eastAsia="宋体" w:cs="Times New Roman"/>
      <w:b/>
      <w:bCs/>
    </w:rPr>
  </w:style>
  <w:style w:type="character" w:styleId="32">
    <w:name w:val="endnote reference"/>
    <w:basedOn w:val="30"/>
    <w:semiHidden/>
    <w:unhideWhenUsed/>
    <w:qFormat/>
    <w:uiPriority w:val="99"/>
    <w:rPr>
      <w:vertAlign w:val="superscript"/>
    </w:rPr>
  </w:style>
  <w:style w:type="character" w:styleId="33">
    <w:name w:val="FollowedHyperlink"/>
    <w:basedOn w:val="30"/>
    <w:semiHidden/>
    <w:unhideWhenUsed/>
    <w:qFormat/>
    <w:uiPriority w:val="99"/>
    <w:rPr>
      <w:color w:val="954F72" w:themeColor="followedHyperlink"/>
      <w:u w:val="single"/>
      <w14:textFill>
        <w14:solidFill>
          <w14:schemeClr w14:val="folHlink"/>
        </w14:solidFill>
      </w14:textFill>
    </w:rPr>
  </w:style>
  <w:style w:type="character" w:styleId="34">
    <w:name w:val="Emphasis"/>
    <w:basedOn w:val="30"/>
    <w:qFormat/>
    <w:uiPriority w:val="20"/>
    <w:rPr>
      <w:i/>
      <w:iCs/>
    </w:rPr>
  </w:style>
  <w:style w:type="character" w:styleId="35">
    <w:name w:val="Hyperlink"/>
    <w:unhideWhenUsed/>
    <w:qFormat/>
    <w:uiPriority w:val="99"/>
    <w:rPr>
      <w:rFonts w:ascii="Times New Roman" w:hAnsi="Times New Roman" w:eastAsia="宋体" w:cs="Times New Roman"/>
      <w:color w:val="0000FF"/>
      <w:u w:val="single"/>
    </w:rPr>
  </w:style>
  <w:style w:type="character" w:styleId="36">
    <w:name w:val="annotation reference"/>
    <w:unhideWhenUsed/>
    <w:qFormat/>
    <w:uiPriority w:val="99"/>
    <w:rPr>
      <w:rFonts w:ascii="Times New Roman" w:hAnsi="Times New Roman" w:eastAsia="宋体" w:cs="Times New Roman"/>
      <w:sz w:val="21"/>
      <w:szCs w:val="21"/>
    </w:rPr>
  </w:style>
  <w:style w:type="character" w:styleId="37">
    <w:name w:val="footnote reference"/>
    <w:semiHidden/>
    <w:unhideWhenUsed/>
    <w:qFormat/>
    <w:uiPriority w:val="99"/>
    <w:rPr>
      <w:rFonts w:ascii="Times New Roman" w:hAnsi="Times New Roman" w:eastAsia="宋体" w:cs="Times New Roman"/>
      <w:vertAlign w:val="superscript"/>
    </w:rPr>
  </w:style>
  <w:style w:type="table" w:customStyle="1" w:styleId="38">
    <w:name w:val="Table Grid Light"/>
    <w:basedOn w:val="3"/>
    <w:qFormat/>
    <w:uiPriority w:val="59"/>
    <w:pPr>
      <w:spacing w:after="0" w:line="240" w:lineRule="auto"/>
    </w:pPr>
    <w:tblPr>
      <w:tblBorders>
        <w:top w:val="single" w:color="AEAEAE" w:themeColor="text1" w:themeTint="50" w:sz="4" w:space="0"/>
        <w:left w:val="single" w:color="AEAEAE" w:themeColor="text1" w:themeTint="50" w:sz="4" w:space="0"/>
        <w:bottom w:val="single" w:color="AEAEAE" w:themeColor="text1" w:themeTint="50" w:sz="4" w:space="0"/>
        <w:right w:val="single" w:color="AEAEAE" w:themeColor="text1" w:themeTint="50" w:sz="4" w:space="0"/>
        <w:insideH w:val="single" w:color="AEAEAE" w:themeColor="text1" w:themeTint="50" w:sz="4" w:space="0"/>
        <w:insideV w:val="single" w:color="AEAEAE" w:themeColor="text1" w:themeTint="50" w:sz="4" w:space="0"/>
      </w:tblBorders>
      <w:tblCellMar>
        <w:top w:w="0" w:type="dxa"/>
        <w:left w:w="108" w:type="dxa"/>
        <w:bottom w:w="0" w:type="dxa"/>
        <w:right w:w="108" w:type="dxa"/>
      </w:tblCellMar>
    </w:tbl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table" w:customStyle="1" w:styleId="39">
    <w:name w:val="Plain Table 1"/>
    <w:basedOn w:val="3"/>
    <w:qFormat/>
    <w:uiPriority w:val="59"/>
    <w:pPr>
      <w:spacing w:after="0" w:line="240" w:lineRule="auto"/>
    </w:pPr>
    <w:tblPr>
      <w:tblBorders>
        <w:top w:val="single" w:color="AEAEAE" w:themeColor="text1" w:themeTint="50" w:sz="4" w:space="0"/>
        <w:left w:val="single" w:color="AEAEAE" w:themeColor="text1" w:themeTint="50" w:sz="4" w:space="0"/>
        <w:bottom w:val="single" w:color="AEAEAE" w:themeColor="text1" w:themeTint="50" w:sz="4" w:space="0"/>
        <w:right w:val="single" w:color="AEAEAE" w:themeColor="text1" w:themeTint="50" w:sz="4" w:space="0"/>
        <w:insideH w:val="single" w:color="AEAEAE" w:themeColor="text1" w:themeTint="50" w:sz="4" w:space="0"/>
        <w:insideV w:val="single" w:color="AEAEAE" w:themeColor="text1" w:themeTint="50" w:sz="4" w:space="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cPr>
        <w:shd w:val="clear" w:color="F1F1F1" w:fill="F1F1F1"/>
      </w:tcPr>
    </w:tblStylePr>
    <w:tblStylePr w:type="band2Vert"/>
    <w:tblStylePr w:type="band1Horz">
      <w:tcPr>
        <w:shd w:val="clear" w:color="F1F1F1" w:fill="F1F1F1"/>
      </w:tcPr>
    </w:tblStylePr>
    <w:tblStylePr w:type="band2Horz"/>
    <w:tblStylePr w:type="neCell"/>
    <w:tblStylePr w:type="nwCell"/>
    <w:tblStylePr w:type="seCell"/>
    <w:tblStylePr w:type="swCell"/>
  </w:style>
  <w:style w:type="table" w:customStyle="1" w:styleId="40">
    <w:name w:val="Plain Table 2"/>
    <w:basedOn w:val="3"/>
    <w:qFormat/>
    <w:uiPriority w:val="59"/>
    <w:pPr>
      <w:spacing w:after="0" w:line="240" w:lineRule="auto"/>
    </w:pPr>
    <w:tblPr>
      <w:tblBorders>
        <w:top w:val="single" w:color="000000" w:themeColor="text1" w:sz="4" w:space="0"/>
        <w:left w:val="none" w:color="000000" w:themeColor="text1" w:sz="0" w:space="0"/>
        <w:bottom w:val="single" w:color="000000" w:themeColor="text1" w:sz="4" w:space="0"/>
        <w:right w:val="none" w:color="000000" w:themeColor="text1" w:sz="0" w:space="0"/>
      </w:tblBorders>
      <w:tblCellMar>
        <w:top w:w="0" w:type="dxa"/>
        <w:left w:w="108" w:type="dxa"/>
        <w:bottom w:w="0" w:type="dxa"/>
        <w:right w:w="108" w:type="dxa"/>
      </w:tblCellMar>
    </w:tbl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band1Horz">
      <w:tcPr>
        <w:tcBorders>
          <w:top w:val="single" w:color="000000" w:themeColor="text1" w:sz="4" w:space="0"/>
          <w:bottom w:val="single" w:color="000000" w:themeColor="text1" w:sz="4" w:space="0"/>
        </w:tcBorders>
      </w:tcPr>
    </w:tblStylePr>
    <w:tblStylePr w:type="band2Horz"/>
    <w:tblStylePr w:type="neCell"/>
    <w:tblStylePr w:type="nwCell"/>
    <w:tblStylePr w:type="seCell"/>
    <w:tblStylePr w:type="swCell"/>
  </w:style>
  <w:style w:type="table" w:customStyle="1" w:styleId="41">
    <w:name w:val="Plain Table 3"/>
    <w:basedOn w:val="3"/>
    <w:qFormat/>
    <w:uiPriority w:val="99"/>
    <w:pPr>
      <w:spacing w:after="0" w:line="240" w:lineRule="auto"/>
    </w:pPr>
    <w:tblStylePr w:type="firstRow">
      <w:rPr>
        <w:b/>
        <w:caps/>
        <w:color w:val="404040"/>
      </w:rPr>
      <w:tcPr>
        <w:tcBorders>
          <w:top w:val="nil"/>
          <w:left w:val="nil"/>
          <w:bottom w:val="single" w:color="404040" w:sz="4" w:space="0"/>
          <w:right w:val="nil"/>
        </w:tcBorders>
      </w:tcPr>
    </w:tblStylePr>
    <w:tblStylePr w:type="lastRow">
      <w:rPr>
        <w:b/>
        <w:caps/>
        <w:color w:val="404040"/>
      </w:rPr>
    </w:tblStylePr>
    <w:tblStylePr w:type="firstCol">
      <w:rPr>
        <w:b/>
        <w:caps/>
        <w:color w:val="404040"/>
      </w:rPr>
      <w:tcPr>
        <w:tcBorders>
          <w:top w:val="nil"/>
          <w:left w:val="nil"/>
          <w:bottom w:val="nil"/>
          <w:right w:val="single" w:color="404040" w:sz="4" w:space="0"/>
        </w:tcBorders>
      </w:tcPr>
    </w:tblStylePr>
    <w:tblStylePr w:type="lastCol">
      <w:rPr>
        <w:b/>
        <w:caps/>
        <w:color w:val="404040"/>
      </w:rPr>
    </w:tblStylePr>
    <w:tblStylePr w:type="band1Vert">
      <w:rPr>
        <w:rFonts w:ascii="Arial" w:hAnsi="Arial"/>
        <w:color w:val="404040"/>
        <w:sz w:val="22"/>
      </w:rPr>
      <w:tcPr>
        <w:shd w:val="clear" w:color="F1F1F1" w:fill="F1F1F1"/>
      </w:tcPr>
    </w:tblStylePr>
    <w:tblStylePr w:type="band2Vert"/>
    <w:tblStylePr w:type="band1Horz">
      <w:rPr>
        <w:rFonts w:ascii="Arial" w:hAnsi="Arial"/>
        <w:color w:val="404040"/>
        <w:sz w:val="22"/>
      </w:rPr>
      <w:tcPr>
        <w:shd w:val="clear" w:color="F1F1F1" w:fill="F1F1F1"/>
      </w:tcPr>
    </w:tblStylePr>
    <w:tblStylePr w:type="band2Horz"/>
    <w:tblStylePr w:type="neCell"/>
    <w:tblStylePr w:type="nwCell"/>
    <w:tblStylePr w:type="seCell"/>
    <w:tblStylePr w:type="swCell"/>
  </w:style>
  <w:style w:type="table" w:customStyle="1" w:styleId="42">
    <w:name w:val="Plain Table 4"/>
    <w:basedOn w:val="3"/>
    <w:qFormat/>
    <w:uiPriority w:val="99"/>
    <w:pPr>
      <w:spacing w:after="0" w:line="240" w:lineRule="auto"/>
    </w:p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F1F1F1" w:fill="F1F1F1"/>
      </w:tcPr>
    </w:tblStylePr>
    <w:tblStylePr w:type="band2Vert"/>
    <w:tblStylePr w:type="band1Horz">
      <w:rPr>
        <w:rFonts w:ascii="Arial" w:hAnsi="Arial"/>
        <w:color w:val="404040"/>
        <w:sz w:val="22"/>
      </w:rPr>
      <w:tcPr>
        <w:shd w:val="clear" w:color="F1F1F1" w:fill="F1F1F1"/>
      </w:tcPr>
    </w:tblStylePr>
    <w:tblStylePr w:type="band2Horz"/>
    <w:tblStylePr w:type="neCell"/>
    <w:tblStylePr w:type="nwCell"/>
    <w:tblStylePr w:type="seCell"/>
    <w:tblStylePr w:type="swCell"/>
  </w:style>
  <w:style w:type="table" w:customStyle="1" w:styleId="43">
    <w:name w:val="Plain Table 5"/>
    <w:basedOn w:val="3"/>
    <w:qFormat/>
    <w:uiPriority w:val="99"/>
    <w:pPr>
      <w:spacing w:after="0" w:line="240" w:lineRule="auto"/>
    </w:pPr>
    <w:tblStylePr w:type="firstRow">
      <w:rPr>
        <w:i/>
        <w:color w:val="404040"/>
      </w:rPr>
      <w:tcPr>
        <w:tcBorders>
          <w:left w:val="nil"/>
          <w:bottom w:val="single" w:color="404040" w:sz="4" w:space="0"/>
          <w:right w:val="nil"/>
        </w:tcBorders>
        <w:shd w:val="clear" w:color="FFFFFF" w:fill="auto"/>
      </w:tcPr>
    </w:tblStylePr>
    <w:tblStylePr w:type="lastRow">
      <w:rPr>
        <w:i/>
        <w:color w:val="404040"/>
      </w:rPr>
      <w:tcPr>
        <w:tcBorders>
          <w:top w:val="single" w:color="404040" w:sz="4" w:space="0"/>
          <w:left w:val="nil"/>
          <w:right w:val="nil"/>
        </w:tcBorders>
        <w:shd w:val="clear" w:color="FFFFFF" w:fill="auto"/>
      </w:tcPr>
    </w:tblStylePr>
    <w:tblStylePr w:type="firstCol">
      <w:pPr>
        <w:jc w:val="right"/>
      </w:pPr>
      <w:rPr>
        <w:i/>
        <w:color w:val="404040"/>
      </w:rPr>
      <w:tcPr>
        <w:tcBorders>
          <w:right w:val="single" w:color="404040" w:sz="4" w:space="0"/>
        </w:tcBorders>
        <w:shd w:val="clear" w:color="FFFFFF" w:fill="auto"/>
      </w:tcPr>
    </w:tblStylePr>
    <w:tblStylePr w:type="lastCol">
      <w:rPr>
        <w:i/>
        <w:color w:val="404040"/>
      </w:rPr>
      <w:tcPr>
        <w:tcBorders>
          <w:left w:val="single" w:color="404040" w:sz="4" w:space="0"/>
        </w:tcBorders>
        <w:shd w:val="clear" w:color="FFFFFF" w:fill="auto"/>
      </w:tcPr>
    </w:tblStylePr>
    <w:tblStylePr w:type="band1Vert">
      <w:rPr>
        <w:rFonts w:ascii="Arial" w:hAnsi="Arial"/>
        <w:color w:val="404040"/>
        <w:sz w:val="22"/>
      </w:rPr>
      <w:tcPr>
        <w:shd w:val="clear" w:color="F1F1F1" w:fill="F1F1F1"/>
      </w:tcPr>
    </w:tblStylePr>
    <w:tblStylePr w:type="band2Vert"/>
    <w:tblStylePr w:type="band1Horz">
      <w:rPr>
        <w:rFonts w:ascii="Arial" w:hAnsi="Arial"/>
        <w:color w:val="404040"/>
        <w:sz w:val="22"/>
      </w:rPr>
      <w:tcPr>
        <w:shd w:val="clear" w:color="F1F1F1" w:fill="F1F1F1"/>
      </w:tcPr>
    </w:tblStylePr>
    <w:tblStylePr w:type="band2Horz"/>
    <w:tblStylePr w:type="neCell"/>
    <w:tblStylePr w:type="nwCell"/>
    <w:tblStylePr w:type="seCell"/>
    <w:tblStylePr w:type="swCell"/>
  </w:style>
  <w:style w:type="table" w:customStyle="1" w:styleId="44">
    <w:name w:val="Grid Table 1 Light"/>
    <w:basedOn w:val="3"/>
    <w:qFormat/>
    <w:uiPriority w:val="99"/>
    <w:pPr>
      <w:spacing w:after="0" w:line="240" w:lineRule="auto"/>
    </w:pPr>
    <w:tblPr>
      <w:tblBorders>
        <w:top w:val="single" w:color="979797" w:themeColor="text1" w:themeTint="67" w:sz="4" w:space="0"/>
        <w:left w:val="single" w:color="979797" w:themeColor="text1" w:themeTint="67" w:sz="4" w:space="0"/>
        <w:bottom w:val="single" w:color="979797" w:themeColor="text1" w:themeTint="67" w:sz="4" w:space="0"/>
        <w:right w:val="single" w:color="979797" w:themeColor="text1" w:themeTint="67" w:sz="4" w:space="0"/>
        <w:insideH w:val="single" w:color="979797" w:themeColor="text1" w:themeTint="67" w:sz="4" w:space="0"/>
        <w:insideV w:val="single" w:color="979797" w:themeColor="text1" w:themeTint="67" w:sz="4" w:space="0"/>
      </w:tblBorders>
    </w:tblPr>
    <w:tblStylePr w:type="firstRow">
      <w:rPr>
        <w:b/>
        <w:color w:val="404040"/>
      </w:rPr>
      <w:tcPr>
        <w:tcBorders>
          <w:bottom w:val="single" w:color="696969" w:themeColor="text1"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979797" w:themeColor="text1" w:themeTint="67" w:sz="4" w:space="0"/>
          <w:left w:val="single" w:color="979797" w:themeColor="text1" w:themeTint="67" w:sz="4" w:space="0"/>
          <w:bottom w:val="single" w:color="979797" w:themeColor="text1" w:themeTint="67" w:sz="4" w:space="0"/>
          <w:right w:val="single" w:color="979797" w:themeColor="text1" w:themeTint="67" w:sz="4" w:space="0"/>
        </w:tcBorders>
      </w:tcPr>
    </w:tblStylePr>
    <w:tblStylePr w:type="band2Horz"/>
    <w:tblStylePr w:type="neCell"/>
    <w:tblStylePr w:type="nwCell"/>
    <w:tblStylePr w:type="seCell"/>
    <w:tblStylePr w:type="swCell"/>
  </w:style>
  <w:style w:type="table" w:customStyle="1" w:styleId="45">
    <w:name w:val="Grid Table 1 Light - Accent 1"/>
    <w:basedOn w:val="3"/>
    <w:qFormat/>
    <w:uiPriority w:val="99"/>
    <w:pPr>
      <w:spacing w:after="0" w:line="240" w:lineRule="auto"/>
    </w:pPr>
    <w:tblPr>
      <w:tbl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insideH w:val="single" w:color="BCD6EE" w:themeColor="accent1" w:themeTint="67" w:sz="4" w:space="0"/>
        <w:insideV w:val="single" w:color="BCD6EE" w:themeColor="accent1" w:themeTint="67" w:sz="4" w:space="0"/>
      </w:tblBorders>
    </w:tblPr>
    <w:tblStylePr w:type="firstRow">
      <w:rPr>
        <w:b/>
        <w:color w:val="404040"/>
      </w:rPr>
      <w:tcPr>
        <w:tcBorders>
          <w:bottom w:val="single" w:color="9FC4E6" w:themeColor="accent1"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tcBorders>
      </w:tcPr>
    </w:tblStylePr>
    <w:tblStylePr w:type="band2Horz"/>
    <w:tblStylePr w:type="neCell"/>
    <w:tblStylePr w:type="nwCell"/>
    <w:tblStylePr w:type="seCell"/>
    <w:tblStylePr w:type="swCell"/>
  </w:style>
  <w:style w:type="table" w:customStyle="1" w:styleId="46">
    <w:name w:val="Grid Table 1 Light - Accent 2"/>
    <w:basedOn w:val="3"/>
    <w:qFormat/>
    <w:uiPriority w:val="99"/>
    <w:pPr>
      <w:spacing w:after="0" w:line="240" w:lineRule="auto"/>
    </w:pPr>
    <w:tblPr>
      <w:tbl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insideH w:val="single" w:color="F7CAAB" w:themeColor="accent2" w:themeTint="67" w:sz="4" w:space="0"/>
        <w:insideV w:val="single" w:color="F7CAAB" w:themeColor="accent2" w:themeTint="67" w:sz="4" w:space="0"/>
      </w:tblBorders>
    </w:tblPr>
    <w:tblStylePr w:type="firstRow">
      <w:rPr>
        <w:b/>
        <w:color w:val="404040"/>
      </w:rPr>
      <w:tcPr>
        <w:tcBorders>
          <w:bottom w:val="single" w:color="F4B386" w:themeColor="accent2"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tcBorders>
      </w:tcPr>
    </w:tblStylePr>
    <w:tblStylePr w:type="band2Horz"/>
    <w:tblStylePr w:type="neCell"/>
    <w:tblStylePr w:type="nwCell"/>
    <w:tblStylePr w:type="seCell"/>
    <w:tblStylePr w:type="swCell"/>
  </w:style>
  <w:style w:type="table" w:customStyle="1" w:styleId="47">
    <w:name w:val="Grid Table 1 Light - Accent 3"/>
    <w:basedOn w:val="3"/>
    <w:qFormat/>
    <w:uiPriority w:val="99"/>
    <w:pPr>
      <w:spacing w:after="0" w:line="240" w:lineRule="auto"/>
    </w:pPr>
    <w:tblPr>
      <w:tbl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insideH w:val="single" w:color="DADADA" w:themeColor="accent3" w:themeTint="67" w:sz="4" w:space="0"/>
        <w:insideV w:val="single" w:color="DADADA" w:themeColor="accent3" w:themeTint="67" w:sz="4" w:space="0"/>
      </w:tblBorders>
    </w:tblPr>
    <w:tblStylePr w:type="firstRow">
      <w:rPr>
        <w:b/>
        <w:color w:val="404040"/>
      </w:rPr>
      <w:tcPr>
        <w:tcBorders>
          <w:bottom w:val="single" w:color="CACACA" w:themeColor="accent3"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tcBorders>
      </w:tcPr>
    </w:tblStylePr>
    <w:tblStylePr w:type="band2Horz"/>
    <w:tblStylePr w:type="neCell"/>
    <w:tblStylePr w:type="nwCell"/>
    <w:tblStylePr w:type="seCell"/>
    <w:tblStylePr w:type="swCell"/>
  </w:style>
  <w:style w:type="table" w:customStyle="1" w:styleId="48">
    <w:name w:val="Grid Table 1 Light - Accent 4"/>
    <w:basedOn w:val="3"/>
    <w:qFormat/>
    <w:uiPriority w:val="99"/>
    <w:pPr>
      <w:spacing w:after="0" w:line="240" w:lineRule="auto"/>
    </w:pPr>
    <w:tblPr>
      <w:tblBorders>
        <w:top w:val="single" w:color="FFE597" w:themeColor="accent4" w:themeTint="67" w:sz="4" w:space="0"/>
        <w:left w:val="single" w:color="FFE597" w:themeColor="accent4" w:themeTint="67" w:sz="4" w:space="0"/>
        <w:bottom w:val="single" w:color="FFE597" w:themeColor="accent4" w:themeTint="67" w:sz="4" w:space="0"/>
        <w:right w:val="single" w:color="FFE597" w:themeColor="accent4" w:themeTint="67" w:sz="4" w:space="0"/>
        <w:insideH w:val="single" w:color="FFE597" w:themeColor="accent4" w:themeTint="67" w:sz="4" w:space="0"/>
        <w:insideV w:val="single" w:color="FFE597" w:themeColor="accent4" w:themeTint="67" w:sz="4" w:space="0"/>
      </w:tblBorders>
    </w:tblPr>
    <w:tblStylePr w:type="firstRow">
      <w:rPr>
        <w:b/>
        <w:color w:val="404040"/>
      </w:rPr>
      <w:tcPr>
        <w:tcBorders>
          <w:bottom w:val="single" w:color="FFDA69" w:themeColor="accent4"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FFE597" w:themeColor="accent4" w:themeTint="67" w:sz="4" w:space="0"/>
          <w:left w:val="single" w:color="FFE597" w:themeColor="accent4" w:themeTint="67" w:sz="4" w:space="0"/>
          <w:bottom w:val="single" w:color="FFE597" w:themeColor="accent4" w:themeTint="67" w:sz="4" w:space="0"/>
          <w:right w:val="single" w:color="FFE597" w:themeColor="accent4" w:themeTint="67" w:sz="4" w:space="0"/>
        </w:tcBorders>
      </w:tcPr>
    </w:tblStylePr>
    <w:tblStylePr w:type="band2Horz"/>
    <w:tblStylePr w:type="neCell"/>
    <w:tblStylePr w:type="nwCell"/>
    <w:tblStylePr w:type="seCell"/>
    <w:tblStylePr w:type="swCell"/>
  </w:style>
  <w:style w:type="table" w:customStyle="1" w:styleId="49">
    <w:name w:val="Grid Table 1 Light - Accent 5"/>
    <w:basedOn w:val="3"/>
    <w:qFormat/>
    <w:uiPriority w:val="99"/>
    <w:pPr>
      <w:spacing w:after="0" w:line="240" w:lineRule="auto"/>
    </w:pPr>
    <w:tblPr>
      <w:tblBorders>
        <w:top w:val="single" w:color="B3C6E7" w:themeColor="accent5" w:themeTint="67" w:sz="4" w:space="0"/>
        <w:left w:val="single" w:color="B3C6E7" w:themeColor="accent5" w:themeTint="67" w:sz="4" w:space="0"/>
        <w:bottom w:val="single" w:color="B3C6E7" w:themeColor="accent5" w:themeTint="67" w:sz="4" w:space="0"/>
        <w:right w:val="single" w:color="B3C6E7" w:themeColor="accent5" w:themeTint="67" w:sz="4" w:space="0"/>
        <w:insideH w:val="single" w:color="B3C6E7" w:themeColor="accent5" w:themeTint="67" w:sz="4" w:space="0"/>
        <w:insideV w:val="single" w:color="B3C6E7" w:themeColor="accent5" w:themeTint="67" w:sz="4" w:space="0"/>
      </w:tblBorders>
    </w:tblPr>
    <w:tblStylePr w:type="firstRow">
      <w:rPr>
        <w:b/>
        <w:color w:val="404040"/>
      </w:rPr>
      <w:tcPr>
        <w:tcBorders>
          <w:bottom w:val="single" w:color="91ACDC" w:themeColor="accent5"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B3C6E7" w:themeColor="accent5" w:themeTint="67" w:sz="4" w:space="0"/>
          <w:left w:val="single" w:color="B3C6E7" w:themeColor="accent5" w:themeTint="67" w:sz="4" w:space="0"/>
          <w:bottom w:val="single" w:color="B3C6E7" w:themeColor="accent5" w:themeTint="67" w:sz="4" w:space="0"/>
          <w:right w:val="single" w:color="B3C6E7" w:themeColor="accent5" w:themeTint="67" w:sz="4" w:space="0"/>
        </w:tcBorders>
      </w:tcPr>
    </w:tblStylePr>
    <w:tblStylePr w:type="band2Horz"/>
    <w:tblStylePr w:type="neCell"/>
    <w:tblStylePr w:type="nwCell"/>
    <w:tblStylePr w:type="seCell"/>
    <w:tblStylePr w:type="swCell"/>
  </w:style>
  <w:style w:type="table" w:customStyle="1" w:styleId="50">
    <w:name w:val="Grid Table 1 Light - Accent 6"/>
    <w:basedOn w:val="3"/>
    <w:qFormat/>
    <w:uiPriority w:val="99"/>
    <w:pPr>
      <w:spacing w:after="0" w:line="240" w:lineRule="auto"/>
    </w:pPr>
    <w:tblPr>
      <w:tbl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insideH w:val="single" w:color="C4DFB2" w:themeColor="accent6" w:themeTint="67" w:sz="4" w:space="0"/>
        <w:insideV w:val="single" w:color="C4DFB2" w:themeColor="accent6" w:themeTint="67" w:sz="4" w:space="0"/>
      </w:tblBorders>
    </w:tblPr>
    <w:tblStylePr w:type="firstRow">
      <w:rPr>
        <w:b/>
        <w:color w:val="404040"/>
      </w:rPr>
      <w:tcPr>
        <w:tcBorders>
          <w:bottom w:val="single" w:color="AAD190" w:themeColor="accent6"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tcBorders>
      </w:tcPr>
    </w:tblStylePr>
    <w:tblStylePr w:type="band2Horz"/>
    <w:tblStylePr w:type="neCell"/>
    <w:tblStylePr w:type="nwCell"/>
    <w:tblStylePr w:type="seCell"/>
    <w:tblStylePr w:type="swCell"/>
  </w:style>
  <w:style w:type="table" w:customStyle="1" w:styleId="51">
    <w:name w:val="Grid Table 2"/>
    <w:basedOn w:val="3"/>
    <w:qFormat/>
    <w:uiPriority w:val="99"/>
    <w:pPr>
      <w:spacing w:after="0" w:line="240" w:lineRule="auto"/>
    </w:pPr>
    <w:tblPr>
      <w:tblBorders>
        <w:bottom w:val="single" w:color="696969" w:themeColor="text1" w:themeTint="95" w:sz="4" w:space="0"/>
        <w:insideH w:val="single" w:color="696969" w:themeColor="text1" w:themeTint="95" w:sz="4" w:space="0"/>
        <w:insideV w:val="single" w:color="696969" w:themeColor="text1" w:themeTint="95" w:sz="4" w:space="0"/>
      </w:tblBorders>
    </w:tblPr>
    <w:tblStylePr w:type="firstRow">
      <w:rPr>
        <w:b/>
        <w:color w:val="404040"/>
      </w:rPr>
      <w:tcPr>
        <w:tcBorders>
          <w:top w:val="nil"/>
          <w:left w:val="nil"/>
          <w:bottom w:val="single" w:color="696969" w:themeColor="text1" w:themeTint="95" w:sz="12" w:space="0"/>
          <w:right w:val="nil"/>
        </w:tcBorders>
        <w:shd w:val="clear" w:color="FFFFFF" w:fill="auto"/>
      </w:tcPr>
    </w:tblStylePr>
    <w:tblStylePr w:type="lastRow">
      <w:rPr>
        <w:b/>
        <w:color w:val="404040"/>
      </w:rPr>
      <w:tcPr>
        <w:tcBorders>
          <w:top w:val="single" w:color="696969" w:themeColor="text1" w:themeTint="95"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CACACA" w:fill="CACACA"/>
      </w:tcPr>
    </w:tblStylePr>
    <w:tblStylePr w:type="band2Vert"/>
    <w:tblStylePr w:type="band1Horz">
      <w:rPr>
        <w:rFonts w:ascii="Arial" w:hAnsi="Arial"/>
        <w:color w:val="404040"/>
        <w:sz w:val="22"/>
      </w:rPr>
      <w:tcPr>
        <w:shd w:val="clear" w:color="CACACA" w:fill="CACACA"/>
      </w:tcPr>
    </w:tblStylePr>
    <w:tblStylePr w:type="band2Horz"/>
    <w:tblStylePr w:type="neCell"/>
    <w:tblStylePr w:type="nwCell"/>
    <w:tblStylePr w:type="seCell"/>
    <w:tblStylePr w:type="swCell"/>
  </w:style>
  <w:style w:type="table" w:customStyle="1" w:styleId="52">
    <w:name w:val="Grid Table 2 - Accent 1"/>
    <w:basedOn w:val="3"/>
    <w:qFormat/>
    <w:uiPriority w:val="99"/>
    <w:pPr>
      <w:spacing w:after="0" w:line="240" w:lineRule="auto"/>
    </w:pPr>
    <w:tblPr>
      <w:tblBorders>
        <w:bottom w:val="single" w:color="68A3D8" w:themeColor="accent1" w:themeTint="EA" w:sz="4" w:space="0"/>
        <w:insideH w:val="single" w:color="68A3D8" w:themeColor="accent1" w:themeTint="EA" w:sz="4" w:space="0"/>
        <w:insideV w:val="single" w:color="68A3D8" w:themeColor="accent1" w:themeTint="EA" w:sz="4" w:space="0"/>
      </w:tblBorders>
    </w:tblPr>
    <w:tblStylePr w:type="firstRow">
      <w:rPr>
        <w:b/>
        <w:color w:val="404040"/>
      </w:rPr>
      <w:tcPr>
        <w:tcBorders>
          <w:top w:val="nil"/>
          <w:left w:val="nil"/>
          <w:bottom w:val="single" w:color="68A3D8" w:themeColor="accent1" w:themeTint="EA" w:sz="12" w:space="0"/>
          <w:right w:val="nil"/>
        </w:tcBorders>
        <w:shd w:val="clear" w:color="FFFFFF" w:fill="auto"/>
      </w:tcPr>
    </w:tblStylePr>
    <w:tblStylePr w:type="lastRow">
      <w:rPr>
        <w:b/>
        <w:color w:val="404040"/>
      </w:rPr>
      <w:tcPr>
        <w:tcBorders>
          <w:top w:val="single" w:color="68A3D8" w:themeColor="accent1" w:themeTint="EA"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DEAF6" w:fill="DDEAF6"/>
      </w:tcPr>
    </w:tblStylePr>
    <w:tblStylePr w:type="band2Vert"/>
    <w:tblStylePr w:type="band1Horz">
      <w:rPr>
        <w:rFonts w:ascii="Arial" w:hAnsi="Arial"/>
        <w:color w:val="404040"/>
        <w:sz w:val="22"/>
      </w:rPr>
      <w:tcPr>
        <w:shd w:val="clear" w:color="DDEAF6" w:fill="DDEAF6"/>
      </w:tcPr>
    </w:tblStylePr>
    <w:tblStylePr w:type="band2Horz"/>
    <w:tblStylePr w:type="neCell"/>
    <w:tblStylePr w:type="nwCell"/>
    <w:tblStylePr w:type="seCell"/>
    <w:tblStylePr w:type="swCell"/>
  </w:style>
  <w:style w:type="table" w:customStyle="1" w:styleId="53">
    <w:name w:val="Grid Table 2 - Accent 2"/>
    <w:basedOn w:val="3"/>
    <w:qFormat/>
    <w:uiPriority w:val="99"/>
    <w:pPr>
      <w:spacing w:after="0" w:line="240" w:lineRule="auto"/>
    </w:pPr>
    <w:tblPr>
      <w:tblBorders>
        <w:bottom w:val="single" w:color="F4B285" w:themeColor="accent2" w:themeTint="97" w:sz="4" w:space="0"/>
        <w:insideH w:val="single" w:color="F4B285" w:themeColor="accent2" w:themeTint="97" w:sz="4" w:space="0"/>
        <w:insideV w:val="single" w:color="F4B285" w:themeColor="accent2" w:themeTint="97" w:sz="4" w:space="0"/>
      </w:tblBorders>
    </w:tblPr>
    <w:tblStylePr w:type="firstRow">
      <w:rPr>
        <w:b/>
        <w:color w:val="404040"/>
      </w:rPr>
      <w:tcPr>
        <w:tcBorders>
          <w:top w:val="nil"/>
          <w:left w:val="nil"/>
          <w:bottom w:val="single" w:color="F4B285" w:themeColor="accent2" w:themeTint="97" w:sz="12" w:space="0"/>
          <w:right w:val="nil"/>
        </w:tcBorders>
        <w:shd w:val="clear" w:color="FFFFFF" w:fill="auto"/>
      </w:tcPr>
    </w:tblStylePr>
    <w:tblStylePr w:type="lastRow">
      <w:rPr>
        <w:b/>
        <w:color w:val="404040"/>
      </w:rPr>
      <w:tcPr>
        <w:tcBorders>
          <w:top w:val="single" w:color="F4B285" w:themeColor="accent2" w:themeTint="97"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BE5D6" w:fill="FBE5D6"/>
      </w:tcPr>
    </w:tblStylePr>
    <w:tblStylePr w:type="band2Vert"/>
    <w:tblStylePr w:type="band1Horz">
      <w:rPr>
        <w:rFonts w:ascii="Arial" w:hAnsi="Arial"/>
        <w:color w:val="404040"/>
        <w:sz w:val="22"/>
      </w:rPr>
      <w:tcPr>
        <w:shd w:val="clear" w:color="FBE5D6" w:fill="FBE5D6"/>
      </w:tcPr>
    </w:tblStylePr>
    <w:tblStylePr w:type="band2Horz"/>
    <w:tblStylePr w:type="neCell"/>
    <w:tblStylePr w:type="nwCell"/>
    <w:tblStylePr w:type="seCell"/>
    <w:tblStylePr w:type="swCell"/>
  </w:style>
  <w:style w:type="table" w:customStyle="1" w:styleId="54">
    <w:name w:val="Grid Table 2 - Accent 3"/>
    <w:basedOn w:val="3"/>
    <w:qFormat/>
    <w:uiPriority w:val="99"/>
    <w:pPr>
      <w:spacing w:after="0" w:line="240" w:lineRule="auto"/>
    </w:pPr>
    <w:tblPr>
      <w:tblBorders>
        <w:bottom w:val="single" w:color="A5A5A5" w:themeColor="accent3" w:themeTint="FE" w:sz="4" w:space="0"/>
        <w:insideH w:val="single" w:color="A5A5A5" w:themeColor="accent3" w:themeTint="FE" w:sz="4" w:space="0"/>
        <w:insideV w:val="single" w:color="A5A5A5" w:themeColor="accent3" w:themeTint="FE" w:sz="4" w:space="0"/>
      </w:tblBorders>
    </w:tblPr>
    <w:tblStylePr w:type="firstRow">
      <w:rPr>
        <w:b/>
        <w:color w:val="404040"/>
      </w:rPr>
      <w:tcPr>
        <w:tcBorders>
          <w:top w:val="nil"/>
          <w:left w:val="nil"/>
          <w:bottom w:val="single" w:color="A5A5A5" w:themeColor="accent3" w:themeTint="FE" w:sz="12" w:space="0"/>
          <w:right w:val="nil"/>
        </w:tcBorders>
        <w:shd w:val="clear" w:color="FFFFFF" w:fill="auto"/>
      </w:tcPr>
    </w:tblStylePr>
    <w:tblStylePr w:type="lastRow">
      <w:rPr>
        <w:b/>
        <w:color w:val="404040"/>
      </w:rPr>
      <w:tcPr>
        <w:tcBorders>
          <w:top w:val="single" w:color="A5A5A5" w:themeColor="accent3" w:themeTint="FE"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CECEC" w:fill="ECECEC"/>
      </w:tcPr>
    </w:tblStylePr>
    <w:tblStylePr w:type="band2Vert"/>
    <w:tblStylePr w:type="band1Horz">
      <w:rPr>
        <w:rFonts w:ascii="Arial" w:hAnsi="Arial"/>
        <w:color w:val="404040"/>
        <w:sz w:val="22"/>
      </w:rPr>
      <w:tcPr>
        <w:shd w:val="clear" w:color="ECECEC" w:fill="ECECEC"/>
      </w:tcPr>
    </w:tblStylePr>
    <w:tblStylePr w:type="band2Horz"/>
    <w:tblStylePr w:type="neCell"/>
    <w:tblStylePr w:type="nwCell"/>
    <w:tblStylePr w:type="seCell"/>
    <w:tblStylePr w:type="swCell"/>
  </w:style>
  <w:style w:type="table" w:customStyle="1" w:styleId="55">
    <w:name w:val="Grid Table 2 - Accent 4"/>
    <w:basedOn w:val="3"/>
    <w:qFormat/>
    <w:uiPriority w:val="99"/>
    <w:pPr>
      <w:spacing w:after="0" w:line="240" w:lineRule="auto"/>
    </w:pPr>
    <w:tblPr>
      <w:tblBorders>
        <w:bottom w:val="single" w:color="FFD864" w:themeColor="accent4" w:themeTint="9A" w:sz="4" w:space="0"/>
        <w:insideH w:val="single" w:color="FFD864" w:themeColor="accent4" w:themeTint="9A" w:sz="4" w:space="0"/>
        <w:insideV w:val="single" w:color="FFD864" w:themeColor="accent4" w:themeTint="9A" w:sz="4" w:space="0"/>
      </w:tblBorders>
    </w:tblPr>
    <w:tblStylePr w:type="firstRow">
      <w:rPr>
        <w:b/>
        <w:color w:val="404040"/>
      </w:rPr>
      <w:tcPr>
        <w:tcBorders>
          <w:top w:val="nil"/>
          <w:left w:val="nil"/>
          <w:bottom w:val="single" w:color="FFD864" w:themeColor="accent4" w:themeTint="9A" w:sz="12" w:space="0"/>
          <w:right w:val="nil"/>
        </w:tcBorders>
        <w:shd w:val="clear" w:color="FFFFFF" w:fill="auto"/>
      </w:tcPr>
    </w:tblStylePr>
    <w:tblStylePr w:type="lastRow">
      <w:rPr>
        <w:b/>
        <w:color w:val="404040"/>
      </w:rPr>
      <w:tcPr>
        <w:tcBorders>
          <w:top w:val="single" w:color="FFD864" w:themeColor="accent4" w:themeTint="9A"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EF2CA" w:fill="FEF2CA"/>
      </w:tcPr>
    </w:tblStylePr>
    <w:tblStylePr w:type="band2Vert"/>
    <w:tblStylePr w:type="band1Horz">
      <w:rPr>
        <w:rFonts w:ascii="Arial" w:hAnsi="Arial"/>
        <w:color w:val="404040"/>
        <w:sz w:val="22"/>
      </w:rPr>
      <w:tcPr>
        <w:shd w:val="clear" w:color="FEF2CA" w:fill="FEF2CA"/>
      </w:tcPr>
    </w:tblStylePr>
    <w:tblStylePr w:type="band2Horz"/>
    <w:tblStylePr w:type="neCell"/>
    <w:tblStylePr w:type="nwCell"/>
    <w:tblStylePr w:type="seCell"/>
    <w:tblStylePr w:type="swCell"/>
  </w:style>
  <w:style w:type="table" w:customStyle="1" w:styleId="56">
    <w:name w:val="Grid Table 2 - Accent 5"/>
    <w:basedOn w:val="3"/>
    <w:qFormat/>
    <w:uiPriority w:val="99"/>
    <w:pPr>
      <w:spacing w:after="0" w:line="240" w:lineRule="auto"/>
    </w:pPr>
    <w:tblPr>
      <w:tblBorders>
        <w:bottom w:val="single" w:color="4472C4" w:themeColor="accent5" w:sz="4" w:space="0"/>
        <w:insideH w:val="single" w:color="4472C4" w:themeColor="accent5" w:sz="4" w:space="0"/>
        <w:insideV w:val="single" w:color="4472C4" w:themeColor="accent5" w:sz="4" w:space="0"/>
      </w:tblBorders>
    </w:tblPr>
    <w:tblStylePr w:type="firstRow">
      <w:rPr>
        <w:b/>
        <w:color w:val="404040"/>
      </w:rPr>
      <w:tcPr>
        <w:tcBorders>
          <w:top w:val="nil"/>
          <w:left w:val="nil"/>
          <w:bottom w:val="single" w:color="4472C4" w:themeColor="accent5" w:sz="12" w:space="0"/>
          <w:right w:val="nil"/>
        </w:tcBorders>
        <w:shd w:val="clear" w:color="FFFFFF" w:fill="auto"/>
      </w:tcPr>
    </w:tblStylePr>
    <w:tblStylePr w:type="lastRow">
      <w:rPr>
        <w:b/>
        <w:color w:val="404040"/>
      </w:rPr>
      <w:tcPr>
        <w:tcBorders>
          <w:top w:val="single" w:color="4472C4" w:themeColor="accent5"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8E2F2" w:fill="D8E2F2"/>
      </w:tcPr>
    </w:tblStylePr>
    <w:tblStylePr w:type="band2Vert"/>
    <w:tblStylePr w:type="band1Horz">
      <w:rPr>
        <w:rFonts w:ascii="Arial" w:hAnsi="Arial"/>
        <w:color w:val="404040"/>
        <w:sz w:val="22"/>
      </w:rPr>
      <w:tcPr>
        <w:shd w:val="clear" w:color="D8E2F2" w:fill="D8E2F2"/>
      </w:tcPr>
    </w:tblStylePr>
    <w:tblStylePr w:type="band2Horz"/>
    <w:tblStylePr w:type="neCell"/>
    <w:tblStylePr w:type="nwCell"/>
    <w:tblStylePr w:type="seCell"/>
    <w:tblStylePr w:type="swCell"/>
  </w:style>
  <w:style w:type="table" w:customStyle="1" w:styleId="57">
    <w:name w:val="Grid Table 2 - Accent 6"/>
    <w:basedOn w:val="3"/>
    <w:qFormat/>
    <w:uiPriority w:val="99"/>
    <w:pPr>
      <w:spacing w:after="0" w:line="240" w:lineRule="auto"/>
    </w:pPr>
    <w:tblPr>
      <w:tblBorders>
        <w:bottom w:val="single" w:color="70AD47" w:themeColor="accent6" w:sz="4" w:space="0"/>
        <w:insideH w:val="single" w:color="70AD47" w:themeColor="accent6" w:sz="4" w:space="0"/>
        <w:insideV w:val="single" w:color="70AD47" w:themeColor="accent6" w:sz="4" w:space="0"/>
      </w:tblBorders>
    </w:tblPr>
    <w:tblStylePr w:type="firstRow">
      <w:rPr>
        <w:b/>
        <w:color w:val="404040"/>
      </w:rPr>
      <w:tcPr>
        <w:tcBorders>
          <w:top w:val="nil"/>
          <w:left w:val="nil"/>
          <w:bottom w:val="single" w:color="70AD47" w:themeColor="accent6" w:sz="12" w:space="0"/>
          <w:right w:val="nil"/>
        </w:tcBorders>
        <w:shd w:val="clear" w:color="FFFFFF" w:fill="auto"/>
      </w:tcPr>
    </w:tblStylePr>
    <w:tblStylePr w:type="lastRow">
      <w:rPr>
        <w:b/>
        <w:color w:val="404040"/>
      </w:rPr>
      <w:tcPr>
        <w:tcBorders>
          <w:top w:val="single" w:color="70AD47" w:themeColor="accent6"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1EFD8" w:fill="E1EFD8"/>
      </w:tcPr>
    </w:tblStylePr>
    <w:tblStylePr w:type="band2Vert"/>
    <w:tblStylePr w:type="band1Horz">
      <w:rPr>
        <w:rFonts w:ascii="Arial" w:hAnsi="Arial"/>
        <w:color w:val="404040"/>
        <w:sz w:val="22"/>
      </w:rPr>
      <w:tcPr>
        <w:shd w:val="clear" w:color="E1EFD8" w:fill="E1EFD8"/>
      </w:tcPr>
    </w:tblStylePr>
    <w:tblStylePr w:type="band2Horz"/>
    <w:tblStylePr w:type="neCell"/>
    <w:tblStylePr w:type="nwCell"/>
    <w:tblStylePr w:type="seCell"/>
    <w:tblStylePr w:type="swCell"/>
  </w:style>
  <w:style w:type="table" w:customStyle="1" w:styleId="58">
    <w:name w:val="Grid Table 3"/>
    <w:basedOn w:val="3"/>
    <w:qFormat/>
    <w:uiPriority w:val="99"/>
    <w:pPr>
      <w:spacing w:after="0" w:line="240" w:lineRule="auto"/>
    </w:pPr>
    <w:tblPr>
      <w:tblBorders>
        <w:bottom w:val="single" w:color="696969" w:themeColor="text1" w:themeTint="95" w:sz="4" w:space="0"/>
        <w:insideH w:val="single" w:color="696969" w:themeColor="text1" w:themeTint="95" w:sz="4" w:space="0"/>
        <w:insideV w:val="single" w:color="696969" w:themeColor="text1" w:themeTint="95"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CACACA" w:fill="CACACA"/>
      </w:tcPr>
    </w:tblStylePr>
    <w:tblStylePr w:type="band2Vert"/>
    <w:tblStylePr w:type="band1Horz">
      <w:rPr>
        <w:rFonts w:ascii="Arial" w:hAnsi="Arial"/>
        <w:color w:val="404040"/>
        <w:sz w:val="22"/>
      </w:rPr>
      <w:tcPr>
        <w:shd w:val="clear" w:color="CACACA" w:fill="CACACA"/>
      </w:tcPr>
    </w:tblStylePr>
    <w:tblStylePr w:type="band2Horz"/>
    <w:tblStylePr w:type="neCell"/>
    <w:tblStylePr w:type="nwCell"/>
    <w:tblStylePr w:type="seCell"/>
    <w:tblStylePr w:type="swCell"/>
  </w:style>
  <w:style w:type="table" w:customStyle="1" w:styleId="59">
    <w:name w:val="Grid Table 3 - Accent 1"/>
    <w:basedOn w:val="3"/>
    <w:qFormat/>
    <w:uiPriority w:val="99"/>
    <w:pPr>
      <w:spacing w:after="0" w:line="240" w:lineRule="auto"/>
    </w:pPr>
    <w:tblPr>
      <w:tblBorders>
        <w:bottom w:val="single" w:color="68A3D8" w:themeColor="accent1" w:themeTint="EA" w:sz="4" w:space="0"/>
        <w:insideH w:val="single" w:color="68A3D8" w:themeColor="accent1" w:themeTint="EA" w:sz="4" w:space="0"/>
        <w:insideV w:val="single" w:color="68A3D8" w:themeColor="accent1" w:themeTint="EA"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DDEAF6" w:fill="DDEAF6"/>
      </w:tcPr>
    </w:tblStylePr>
    <w:tblStylePr w:type="band2Vert"/>
    <w:tblStylePr w:type="band1Horz">
      <w:rPr>
        <w:rFonts w:ascii="Arial" w:hAnsi="Arial"/>
        <w:color w:val="404040"/>
        <w:sz w:val="22"/>
      </w:rPr>
      <w:tcPr>
        <w:shd w:val="clear" w:color="DDEAF6" w:fill="DDEAF6"/>
      </w:tcPr>
    </w:tblStylePr>
    <w:tblStylePr w:type="band2Horz"/>
    <w:tblStylePr w:type="neCell"/>
    <w:tblStylePr w:type="nwCell"/>
    <w:tblStylePr w:type="seCell"/>
    <w:tblStylePr w:type="swCell"/>
  </w:style>
  <w:style w:type="table" w:customStyle="1" w:styleId="60">
    <w:name w:val="Grid Table 3 - Accent 2"/>
    <w:basedOn w:val="3"/>
    <w:qFormat/>
    <w:uiPriority w:val="99"/>
    <w:pPr>
      <w:spacing w:after="0" w:line="240" w:lineRule="auto"/>
    </w:pPr>
    <w:tblPr>
      <w:tblBorders>
        <w:bottom w:val="single" w:color="F4B285" w:themeColor="accent2" w:themeTint="97" w:sz="4" w:space="0"/>
        <w:insideH w:val="single" w:color="F4B285" w:themeColor="accent2" w:themeTint="97" w:sz="4" w:space="0"/>
        <w:insideV w:val="single" w:color="F4B285" w:themeColor="accent2" w:themeTint="97"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FBE5D6" w:fill="FBE5D6"/>
      </w:tcPr>
    </w:tblStylePr>
    <w:tblStylePr w:type="band2Vert"/>
    <w:tblStylePr w:type="band1Horz">
      <w:rPr>
        <w:rFonts w:ascii="Arial" w:hAnsi="Arial"/>
        <w:color w:val="404040"/>
        <w:sz w:val="22"/>
      </w:rPr>
      <w:tcPr>
        <w:shd w:val="clear" w:color="FBE5D6" w:fill="FBE5D6"/>
      </w:tcPr>
    </w:tblStylePr>
    <w:tblStylePr w:type="band2Horz"/>
    <w:tblStylePr w:type="neCell"/>
    <w:tblStylePr w:type="nwCell"/>
    <w:tblStylePr w:type="seCell"/>
    <w:tblStylePr w:type="swCell"/>
  </w:style>
  <w:style w:type="table" w:customStyle="1" w:styleId="61">
    <w:name w:val="Grid Table 3 - Accent 3"/>
    <w:basedOn w:val="3"/>
    <w:qFormat/>
    <w:uiPriority w:val="99"/>
    <w:pPr>
      <w:spacing w:after="0" w:line="240" w:lineRule="auto"/>
    </w:pPr>
    <w:tblPr>
      <w:tblBorders>
        <w:bottom w:val="single" w:color="A5A5A5" w:themeColor="accent3" w:themeTint="FE" w:sz="4" w:space="0"/>
        <w:insideH w:val="single" w:color="A5A5A5" w:themeColor="accent3" w:themeTint="FE" w:sz="4" w:space="0"/>
        <w:insideV w:val="single" w:color="A5A5A5" w:themeColor="accent3" w:themeTint="FE"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ECECEC" w:fill="ECECEC"/>
      </w:tcPr>
    </w:tblStylePr>
    <w:tblStylePr w:type="band2Vert"/>
    <w:tblStylePr w:type="band1Horz">
      <w:rPr>
        <w:rFonts w:ascii="Arial" w:hAnsi="Arial"/>
        <w:color w:val="404040"/>
        <w:sz w:val="22"/>
      </w:rPr>
      <w:tcPr>
        <w:shd w:val="clear" w:color="ECECEC" w:fill="ECECEC"/>
      </w:tcPr>
    </w:tblStylePr>
    <w:tblStylePr w:type="band2Horz"/>
    <w:tblStylePr w:type="neCell"/>
    <w:tblStylePr w:type="nwCell"/>
    <w:tblStylePr w:type="seCell"/>
    <w:tblStylePr w:type="swCell"/>
  </w:style>
  <w:style w:type="table" w:customStyle="1" w:styleId="62">
    <w:name w:val="Grid Table 3 - Accent 4"/>
    <w:basedOn w:val="3"/>
    <w:qFormat/>
    <w:uiPriority w:val="99"/>
    <w:pPr>
      <w:spacing w:after="0" w:line="240" w:lineRule="auto"/>
    </w:pPr>
    <w:tblPr>
      <w:tblBorders>
        <w:bottom w:val="single" w:color="FFD864" w:themeColor="accent4" w:themeTint="9A" w:sz="4" w:space="0"/>
        <w:insideH w:val="single" w:color="FFD864" w:themeColor="accent4" w:themeTint="9A" w:sz="4" w:space="0"/>
        <w:insideV w:val="single" w:color="FFD864" w:themeColor="accent4" w:themeTint="9A"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FEF2CA" w:fill="FEF2CA"/>
      </w:tcPr>
    </w:tblStylePr>
    <w:tblStylePr w:type="band2Vert"/>
    <w:tblStylePr w:type="band1Horz">
      <w:rPr>
        <w:rFonts w:ascii="Arial" w:hAnsi="Arial"/>
        <w:color w:val="404040"/>
        <w:sz w:val="22"/>
      </w:rPr>
      <w:tcPr>
        <w:shd w:val="clear" w:color="FEF2CA" w:fill="FEF2CA"/>
      </w:tcPr>
    </w:tblStylePr>
    <w:tblStylePr w:type="band2Horz"/>
    <w:tblStylePr w:type="neCell"/>
    <w:tblStylePr w:type="nwCell"/>
    <w:tblStylePr w:type="seCell"/>
    <w:tblStylePr w:type="swCell"/>
  </w:style>
  <w:style w:type="table" w:customStyle="1" w:styleId="63">
    <w:name w:val="Grid Table 3 - Accent 5"/>
    <w:basedOn w:val="3"/>
    <w:qFormat/>
    <w:uiPriority w:val="99"/>
    <w:pPr>
      <w:spacing w:after="0" w:line="240" w:lineRule="auto"/>
    </w:pPr>
    <w:tblPr>
      <w:tblBorders>
        <w:bottom w:val="single" w:color="4472C4" w:themeColor="accent5" w:sz="4" w:space="0"/>
        <w:insideH w:val="single" w:color="4472C4" w:themeColor="accent5" w:sz="4" w:space="0"/>
        <w:insideV w:val="single" w:color="4472C4" w:themeColor="accent5"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D8E2F2" w:fill="D8E2F2"/>
      </w:tcPr>
    </w:tblStylePr>
    <w:tblStylePr w:type="band2Vert"/>
    <w:tblStylePr w:type="band1Horz">
      <w:rPr>
        <w:rFonts w:ascii="Arial" w:hAnsi="Arial"/>
        <w:color w:val="404040"/>
        <w:sz w:val="22"/>
      </w:rPr>
      <w:tcPr>
        <w:shd w:val="clear" w:color="D8E2F2" w:fill="D8E2F2"/>
      </w:tcPr>
    </w:tblStylePr>
    <w:tblStylePr w:type="band2Horz"/>
    <w:tblStylePr w:type="neCell"/>
    <w:tblStylePr w:type="nwCell"/>
    <w:tblStylePr w:type="seCell"/>
    <w:tblStylePr w:type="swCell"/>
  </w:style>
  <w:style w:type="table" w:customStyle="1" w:styleId="64">
    <w:name w:val="Grid Table 3 - Accent 6"/>
    <w:basedOn w:val="3"/>
    <w:qFormat/>
    <w:uiPriority w:val="99"/>
    <w:pPr>
      <w:spacing w:after="0" w:line="240" w:lineRule="auto"/>
    </w:pPr>
    <w:tblPr>
      <w:tblBorders>
        <w:bottom w:val="single" w:color="70AD47" w:themeColor="accent6" w:sz="4" w:space="0"/>
        <w:insideH w:val="single" w:color="70AD47" w:themeColor="accent6" w:sz="4" w:space="0"/>
        <w:insideV w:val="single" w:color="70AD47" w:themeColor="accent6"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E1EFD8" w:fill="E1EFD8"/>
      </w:tcPr>
    </w:tblStylePr>
    <w:tblStylePr w:type="band2Vert"/>
    <w:tblStylePr w:type="band1Horz">
      <w:rPr>
        <w:rFonts w:ascii="Arial" w:hAnsi="Arial"/>
        <w:color w:val="404040"/>
        <w:sz w:val="22"/>
      </w:rPr>
      <w:tcPr>
        <w:shd w:val="clear" w:color="E1EFD8" w:fill="E1EFD8"/>
      </w:tcPr>
    </w:tblStylePr>
    <w:tblStylePr w:type="band2Horz"/>
    <w:tblStylePr w:type="neCell"/>
    <w:tblStylePr w:type="nwCell"/>
    <w:tblStylePr w:type="seCell"/>
    <w:tblStylePr w:type="swCell"/>
  </w:style>
  <w:style w:type="table" w:customStyle="1" w:styleId="65">
    <w:name w:val="Grid Table 4 - Accent 1"/>
    <w:basedOn w:val="3"/>
    <w:qFormat/>
    <w:uiPriority w:val="59"/>
    <w:pPr>
      <w:spacing w:after="0" w:line="240" w:lineRule="auto"/>
    </w:pPr>
    <w:tblPr>
      <w:tblBorders>
        <w:top w:val="single" w:color="A2C6E7" w:themeColor="accent1" w:themeTint="90" w:sz="4" w:space="0"/>
        <w:left w:val="single" w:color="A2C6E7" w:themeColor="accent1" w:themeTint="90" w:sz="4" w:space="0"/>
        <w:bottom w:val="single" w:color="A2C6E7" w:themeColor="accent1" w:themeTint="90" w:sz="4" w:space="0"/>
        <w:right w:val="single" w:color="A2C6E7" w:themeColor="accent1" w:themeTint="90" w:sz="4" w:space="0"/>
        <w:insideH w:val="single" w:color="A2C6E7" w:themeColor="accent1" w:themeTint="90" w:sz="4" w:space="0"/>
        <w:insideV w:val="single" w:color="A2C6E7" w:themeColor="accent1" w:themeTint="90" w:sz="4" w:space="0"/>
      </w:tblBorders>
    </w:tblPr>
    <w:tblStylePr w:type="firstRow">
      <w:rPr>
        <w:rFonts w:ascii="Arial" w:hAnsi="Arial"/>
        <w:b/>
        <w:color w:val="FFFFFF"/>
        <w:sz w:val="22"/>
      </w:rPr>
      <w:tcPr>
        <w:tcBorders>
          <w:top w:val="single" w:color="68A3D8" w:themeColor="accent1" w:themeTint="EA" w:sz="4" w:space="0"/>
          <w:left w:val="single" w:color="68A3D8" w:themeColor="accent1" w:themeTint="EA" w:sz="4" w:space="0"/>
          <w:bottom w:val="single" w:color="68A3D8" w:themeColor="accent1" w:themeTint="EA" w:sz="4" w:space="0"/>
          <w:right w:val="single" w:color="68A3D8" w:themeColor="accent1" w:themeTint="EA" w:sz="4" w:space="0"/>
        </w:tcBorders>
        <w:shd w:val="clear" w:color="68A3D8" w:fill="68A3D8"/>
      </w:tcPr>
    </w:tblStylePr>
    <w:tblStylePr w:type="lastRow">
      <w:rPr>
        <w:b/>
        <w:color w:val="404040"/>
      </w:rPr>
      <w:tcPr>
        <w:tcBorders>
          <w:top w:val="single" w:color="68A3D8" w:themeColor="accent1" w:themeTint="EA"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EEBF6" w:fill="DEEBF6"/>
      </w:tcPr>
    </w:tblStylePr>
    <w:tblStylePr w:type="band2Vert"/>
    <w:tblStylePr w:type="band1Horz">
      <w:rPr>
        <w:rFonts w:ascii="Arial" w:hAnsi="Arial"/>
        <w:color w:val="404040"/>
        <w:sz w:val="22"/>
      </w:rPr>
      <w:tcPr>
        <w:shd w:val="clear" w:color="DEEBF6" w:fill="DEEBF6"/>
      </w:tcPr>
    </w:tblStylePr>
    <w:tblStylePr w:type="band2Horz"/>
    <w:tblStylePr w:type="neCell"/>
    <w:tblStylePr w:type="nwCell"/>
    <w:tblStylePr w:type="seCell"/>
    <w:tblStylePr w:type="swCell"/>
  </w:style>
  <w:style w:type="table" w:customStyle="1" w:styleId="66">
    <w:name w:val="Grid Table 4 - Accent 2"/>
    <w:basedOn w:val="3"/>
    <w:qFormat/>
    <w:uiPriority w:val="59"/>
    <w:pPr>
      <w:spacing w:after="0" w:line="240" w:lineRule="auto"/>
    </w:pPr>
    <w:tblPr>
      <w:tblBorders>
        <w:top w:val="single" w:color="F4B58A" w:themeColor="accent2" w:themeTint="90" w:sz="4" w:space="0"/>
        <w:left w:val="single" w:color="F4B58A" w:themeColor="accent2" w:themeTint="90" w:sz="4" w:space="0"/>
        <w:bottom w:val="single" w:color="F4B58A" w:themeColor="accent2" w:themeTint="90" w:sz="4" w:space="0"/>
        <w:right w:val="single" w:color="F4B58A" w:themeColor="accent2" w:themeTint="90" w:sz="4" w:space="0"/>
        <w:insideH w:val="single" w:color="F4B58A" w:themeColor="accent2" w:themeTint="90" w:sz="4" w:space="0"/>
        <w:insideV w:val="single" w:color="F4B58A" w:themeColor="accent2" w:themeTint="90" w:sz="4" w:space="0"/>
      </w:tblBorders>
    </w:tblPr>
    <w:tblStylePr w:type="firstRow">
      <w:rPr>
        <w:rFonts w:ascii="Arial" w:hAnsi="Arial"/>
        <w:b/>
        <w:color w:val="FFFFFF"/>
        <w:sz w:val="22"/>
      </w:rPr>
      <w:tcPr>
        <w:tcBorders>
          <w:top w:val="single" w:color="F4B285" w:themeColor="accent2" w:themeTint="97" w:sz="4" w:space="0"/>
          <w:left w:val="single" w:color="F4B285" w:themeColor="accent2" w:themeTint="97" w:sz="4" w:space="0"/>
          <w:bottom w:val="single" w:color="F4B285" w:themeColor="accent2" w:themeTint="97" w:sz="4" w:space="0"/>
          <w:right w:val="single" w:color="F4B285" w:themeColor="accent2" w:themeTint="97" w:sz="4" w:space="0"/>
        </w:tcBorders>
        <w:shd w:val="clear" w:color="F4B285" w:fill="F4B285"/>
      </w:tcPr>
    </w:tblStylePr>
    <w:tblStylePr w:type="lastRow">
      <w:rPr>
        <w:b/>
        <w:color w:val="404040"/>
      </w:rPr>
      <w:tcPr>
        <w:tcBorders>
          <w:top w:val="single" w:color="F4B285" w:themeColor="accent2" w:themeTint="97"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BE5D6" w:fill="FBE5D6"/>
      </w:tcPr>
    </w:tblStylePr>
    <w:tblStylePr w:type="band2Vert"/>
    <w:tblStylePr w:type="band1Horz">
      <w:rPr>
        <w:rFonts w:ascii="Arial" w:hAnsi="Arial"/>
        <w:color w:val="404040"/>
        <w:sz w:val="22"/>
      </w:rPr>
      <w:tcPr>
        <w:shd w:val="clear" w:color="FBE5D6" w:fill="FBE5D6"/>
      </w:tcPr>
    </w:tblStylePr>
    <w:tblStylePr w:type="band2Horz"/>
    <w:tblStylePr w:type="neCell"/>
    <w:tblStylePr w:type="nwCell"/>
    <w:tblStylePr w:type="seCell"/>
    <w:tblStylePr w:type="swCell"/>
  </w:style>
  <w:style w:type="table" w:customStyle="1" w:styleId="67">
    <w:name w:val="Grid Table 4 - Accent 3"/>
    <w:basedOn w:val="3"/>
    <w:qFormat/>
    <w:uiPriority w:val="59"/>
    <w:pPr>
      <w:spacing w:after="0" w:line="240" w:lineRule="auto"/>
    </w:pPr>
    <w:tblPr>
      <w:tblBorders>
        <w:top w:val="single" w:color="CCCCCC" w:themeColor="accent3" w:themeTint="90" w:sz="4" w:space="0"/>
        <w:left w:val="single" w:color="CCCCCC" w:themeColor="accent3" w:themeTint="90" w:sz="4" w:space="0"/>
        <w:bottom w:val="single" w:color="CCCCCC" w:themeColor="accent3" w:themeTint="90" w:sz="4" w:space="0"/>
        <w:right w:val="single" w:color="CCCCCC" w:themeColor="accent3" w:themeTint="90" w:sz="4" w:space="0"/>
        <w:insideH w:val="single" w:color="CCCCCC" w:themeColor="accent3" w:themeTint="90" w:sz="4" w:space="0"/>
        <w:insideV w:val="single" w:color="CCCCCC" w:themeColor="accent3" w:themeTint="90" w:sz="4" w:space="0"/>
      </w:tblBorders>
    </w:tblPr>
    <w:tblStylePr w:type="firstRow">
      <w:rPr>
        <w:rFonts w:ascii="Arial" w:hAnsi="Arial"/>
        <w:b/>
        <w:color w:val="FFFFFF"/>
        <w:sz w:val="22"/>
      </w:rPr>
      <w:tcPr>
        <w:tcBorders>
          <w:top w:val="single" w:color="A5A5A5" w:themeColor="accent3" w:themeTint="FE" w:sz="4" w:space="0"/>
          <w:left w:val="single" w:color="A5A5A5" w:themeColor="accent3" w:themeTint="FE" w:sz="4" w:space="0"/>
          <w:bottom w:val="single" w:color="A5A5A5" w:themeColor="accent3" w:themeTint="FE" w:sz="4" w:space="0"/>
          <w:right w:val="single" w:color="A5A5A5" w:themeColor="accent3" w:themeTint="FE" w:sz="4" w:space="0"/>
        </w:tcBorders>
        <w:shd w:val="clear" w:color="A5A5A5" w:fill="A5A5A5"/>
      </w:tcPr>
    </w:tblStylePr>
    <w:tblStylePr w:type="lastRow">
      <w:rPr>
        <w:b/>
        <w:color w:val="404040"/>
      </w:rPr>
      <w:tcPr>
        <w:tcBorders>
          <w:top w:val="single" w:color="A5A5A5" w:themeColor="accent3" w:themeTint="FE"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CECEC" w:fill="ECECEC"/>
      </w:tcPr>
    </w:tblStylePr>
    <w:tblStylePr w:type="band2Vert"/>
    <w:tblStylePr w:type="band1Horz">
      <w:rPr>
        <w:rFonts w:ascii="Arial" w:hAnsi="Arial"/>
        <w:color w:val="404040"/>
        <w:sz w:val="22"/>
      </w:rPr>
      <w:tcPr>
        <w:shd w:val="clear" w:color="ECECEC" w:fill="ECECEC"/>
      </w:tcPr>
    </w:tblStylePr>
    <w:tblStylePr w:type="band2Horz"/>
    <w:tblStylePr w:type="neCell"/>
    <w:tblStylePr w:type="nwCell"/>
    <w:tblStylePr w:type="seCell"/>
    <w:tblStylePr w:type="swCell"/>
  </w:style>
  <w:style w:type="table" w:customStyle="1" w:styleId="68">
    <w:name w:val="Grid Table 4 - Accent 4"/>
    <w:basedOn w:val="3"/>
    <w:qFormat/>
    <w:uiPriority w:val="59"/>
    <w:pPr>
      <w:spacing w:after="0" w:line="240" w:lineRule="auto"/>
    </w:pPr>
    <w:tblPr>
      <w:tblBorders>
        <w:top w:val="single" w:color="FFDB6E" w:themeColor="accent4" w:themeTint="90" w:sz="4" w:space="0"/>
        <w:left w:val="single" w:color="FFDB6E" w:themeColor="accent4" w:themeTint="90" w:sz="4" w:space="0"/>
        <w:bottom w:val="single" w:color="FFDB6E" w:themeColor="accent4" w:themeTint="90" w:sz="4" w:space="0"/>
        <w:right w:val="single" w:color="FFDB6E" w:themeColor="accent4" w:themeTint="90" w:sz="4" w:space="0"/>
        <w:insideH w:val="single" w:color="FFDB6E" w:themeColor="accent4" w:themeTint="90" w:sz="4" w:space="0"/>
        <w:insideV w:val="single" w:color="FFDB6E" w:themeColor="accent4" w:themeTint="90" w:sz="4" w:space="0"/>
      </w:tblBorders>
    </w:tblPr>
    <w:tblStylePr w:type="firstRow">
      <w:rPr>
        <w:rFonts w:ascii="Arial" w:hAnsi="Arial"/>
        <w:b/>
        <w:color w:val="FFFFFF"/>
        <w:sz w:val="22"/>
      </w:rPr>
      <w:tcPr>
        <w:tcBorders>
          <w:top w:val="single" w:color="FFD864" w:themeColor="accent4" w:themeTint="9A" w:sz="4" w:space="0"/>
          <w:left w:val="single" w:color="FFD864" w:themeColor="accent4" w:themeTint="9A" w:sz="4" w:space="0"/>
          <w:bottom w:val="single" w:color="FFD864" w:themeColor="accent4" w:themeTint="9A" w:sz="4" w:space="0"/>
          <w:right w:val="single" w:color="FFD864" w:themeColor="accent4" w:themeTint="9A" w:sz="4" w:space="0"/>
        </w:tcBorders>
        <w:shd w:val="clear" w:color="FFD864" w:fill="FFD864"/>
      </w:tcPr>
    </w:tblStylePr>
    <w:tblStylePr w:type="lastRow">
      <w:rPr>
        <w:b/>
        <w:color w:val="404040"/>
      </w:rPr>
      <w:tcPr>
        <w:tcBorders>
          <w:top w:val="single" w:color="FFD864" w:themeColor="accent4" w:themeTint="9A"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EF2CA" w:fill="FEF2CA"/>
      </w:tcPr>
    </w:tblStylePr>
    <w:tblStylePr w:type="band2Vert"/>
    <w:tblStylePr w:type="band1Horz">
      <w:rPr>
        <w:rFonts w:ascii="Arial" w:hAnsi="Arial"/>
        <w:color w:val="404040"/>
        <w:sz w:val="22"/>
      </w:rPr>
      <w:tcPr>
        <w:shd w:val="clear" w:color="FEF2CA" w:fill="FEF2CA"/>
      </w:tcPr>
    </w:tblStylePr>
    <w:tblStylePr w:type="band2Horz"/>
    <w:tblStylePr w:type="neCell"/>
    <w:tblStylePr w:type="nwCell"/>
    <w:tblStylePr w:type="seCell"/>
    <w:tblStylePr w:type="swCell"/>
  </w:style>
  <w:style w:type="table" w:customStyle="1" w:styleId="69">
    <w:name w:val="Grid Table 4 - Accent 5"/>
    <w:basedOn w:val="3"/>
    <w:qFormat/>
    <w:uiPriority w:val="59"/>
    <w:pPr>
      <w:spacing w:after="0" w:line="240" w:lineRule="auto"/>
    </w:pPr>
    <w:tblPr>
      <w:tblBorders>
        <w:top w:val="single" w:color="95AFDD" w:themeColor="accent5" w:themeTint="90" w:sz="4" w:space="0"/>
        <w:left w:val="single" w:color="95AFDD" w:themeColor="accent5" w:themeTint="90" w:sz="4" w:space="0"/>
        <w:bottom w:val="single" w:color="95AFDD" w:themeColor="accent5" w:themeTint="90" w:sz="4" w:space="0"/>
        <w:right w:val="single" w:color="95AFDD" w:themeColor="accent5" w:themeTint="90" w:sz="4" w:space="0"/>
        <w:insideH w:val="single" w:color="95AFDD" w:themeColor="accent5" w:themeTint="90" w:sz="4" w:space="0"/>
        <w:insideV w:val="single" w:color="95AFDD" w:themeColor="accent5" w:themeTint="90" w:sz="4" w:space="0"/>
      </w:tblBorders>
    </w:tblPr>
    <w:tblStylePr w:type="firstRow">
      <w:rPr>
        <w:rFonts w:ascii="Arial" w:hAnsi="Arial"/>
        <w:b/>
        <w:color w:val="FFFFFF"/>
        <w:sz w:val="22"/>
      </w:rPr>
      <w:tcPr>
        <w:tcBorders>
          <w:top w:val="single" w:color="4472C4" w:themeColor="accent5" w:sz="4" w:space="0"/>
          <w:left w:val="single" w:color="4472C4" w:themeColor="accent5" w:sz="4" w:space="0"/>
          <w:bottom w:val="single" w:color="4472C4" w:themeColor="accent5" w:sz="4" w:space="0"/>
          <w:right w:val="single" w:color="4472C4" w:themeColor="accent5" w:sz="4" w:space="0"/>
        </w:tcBorders>
        <w:shd w:val="clear" w:color="4472C4" w:fill="4472C4"/>
      </w:tcPr>
    </w:tblStylePr>
    <w:tblStylePr w:type="lastRow">
      <w:rPr>
        <w:b/>
        <w:color w:val="404040"/>
      </w:rPr>
      <w:tcPr>
        <w:tcBorders>
          <w:top w:val="single" w:color="4472C4" w:themeColor="accent5"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8E2F2" w:fill="D8E2F2"/>
      </w:tcPr>
    </w:tblStylePr>
    <w:tblStylePr w:type="band2Vert"/>
    <w:tblStylePr w:type="band1Horz">
      <w:rPr>
        <w:rFonts w:ascii="Arial" w:hAnsi="Arial"/>
        <w:color w:val="404040"/>
        <w:sz w:val="22"/>
      </w:rPr>
      <w:tcPr>
        <w:shd w:val="clear" w:color="D8E2F2" w:fill="D8E2F2"/>
      </w:tcPr>
    </w:tblStylePr>
    <w:tblStylePr w:type="band2Horz"/>
    <w:tblStylePr w:type="neCell"/>
    <w:tblStylePr w:type="nwCell"/>
    <w:tblStylePr w:type="seCell"/>
    <w:tblStylePr w:type="swCell"/>
  </w:style>
  <w:style w:type="table" w:customStyle="1" w:styleId="70">
    <w:name w:val="Grid Table 4 - Accent 6"/>
    <w:basedOn w:val="3"/>
    <w:qFormat/>
    <w:uiPriority w:val="59"/>
    <w:pPr>
      <w:spacing w:after="0" w:line="240" w:lineRule="auto"/>
    </w:pPr>
    <w:tblPr>
      <w:tblBorders>
        <w:top w:val="single" w:color="ADD394" w:themeColor="accent6" w:themeTint="90" w:sz="4" w:space="0"/>
        <w:left w:val="single" w:color="ADD394" w:themeColor="accent6" w:themeTint="90" w:sz="4" w:space="0"/>
        <w:bottom w:val="single" w:color="ADD394" w:themeColor="accent6" w:themeTint="90" w:sz="4" w:space="0"/>
        <w:right w:val="single" w:color="ADD394" w:themeColor="accent6" w:themeTint="90" w:sz="4" w:space="0"/>
        <w:insideH w:val="single" w:color="ADD394" w:themeColor="accent6" w:themeTint="90" w:sz="4" w:space="0"/>
        <w:insideV w:val="single" w:color="ADD394" w:themeColor="accent6" w:themeTint="90" w:sz="4" w:space="0"/>
      </w:tblBorders>
    </w:tblPr>
    <w:tblStylePr w:type="firstRow">
      <w:rPr>
        <w:rFonts w:ascii="Arial" w:hAnsi="Arial"/>
        <w:b/>
        <w:color w:val="FFFFFF"/>
        <w:sz w:val="22"/>
      </w:rPr>
      <w:tcPr>
        <w:tcBorders>
          <w:top w:val="single" w:color="70AD47" w:themeColor="accent6" w:sz="4" w:space="0"/>
          <w:left w:val="single" w:color="70AD47" w:themeColor="accent6" w:sz="4" w:space="0"/>
          <w:bottom w:val="single" w:color="70AD47" w:themeColor="accent6" w:sz="4" w:space="0"/>
          <w:right w:val="single" w:color="70AD47" w:themeColor="accent6" w:sz="4" w:space="0"/>
        </w:tcBorders>
        <w:shd w:val="clear" w:color="70AD47" w:fill="70AD47"/>
      </w:tcPr>
    </w:tblStylePr>
    <w:tblStylePr w:type="lastRow">
      <w:rPr>
        <w:b/>
        <w:color w:val="404040"/>
      </w:rPr>
      <w:tcPr>
        <w:tcBorders>
          <w:top w:val="single" w:color="70AD47" w:themeColor="accent6"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1EFD8" w:fill="E1EFD8"/>
      </w:tcPr>
    </w:tblStylePr>
    <w:tblStylePr w:type="band2Vert"/>
    <w:tblStylePr w:type="band1Horz">
      <w:rPr>
        <w:rFonts w:ascii="Arial" w:hAnsi="Arial"/>
        <w:color w:val="404040"/>
        <w:sz w:val="22"/>
      </w:rPr>
      <w:tcPr>
        <w:shd w:val="clear" w:color="E1EFD8" w:fill="E1EFD8"/>
      </w:tcPr>
    </w:tblStylePr>
    <w:tblStylePr w:type="band2Horz"/>
    <w:tblStylePr w:type="neCell"/>
    <w:tblStylePr w:type="nwCell"/>
    <w:tblStylePr w:type="seCell"/>
    <w:tblStylePr w:type="swCell"/>
  </w:style>
  <w:style w:type="table" w:customStyle="1" w:styleId="71">
    <w:name w:val="Grid Table 5 Dark"/>
    <w:basedOn w:val="3"/>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000000" w:fill="000000"/>
      </w:tcPr>
    </w:tblStylePr>
    <w:tblStylePr w:type="lastRow">
      <w:rPr>
        <w:rFonts w:ascii="Arial" w:hAnsi="Arial"/>
        <w:b/>
        <w:color w:val="FFFFFF"/>
        <w:sz w:val="22"/>
      </w:rPr>
      <w:tcPr>
        <w:tcBorders>
          <w:top w:val="single" w:color="FFFFFF" w:themeColor="light1" w:sz="4" w:space="0"/>
        </w:tcBorders>
        <w:shd w:val="clear" w:color="000000" w:fill="000000"/>
      </w:tcPr>
    </w:tblStylePr>
    <w:tblStylePr w:type="firstCol">
      <w:rPr>
        <w:rFonts w:ascii="Arial" w:hAnsi="Arial"/>
        <w:b/>
        <w:color w:val="FFFFFF"/>
        <w:sz w:val="22"/>
      </w:rPr>
      <w:tcPr>
        <w:shd w:val="clear" w:color="000000" w:fill="000000"/>
      </w:tcPr>
    </w:tblStylePr>
    <w:tblStylePr w:type="lastCol">
      <w:rPr>
        <w:rFonts w:ascii="Arial" w:hAnsi="Arial"/>
        <w:b/>
        <w:color w:val="FFFFFF"/>
        <w:sz w:val="22"/>
      </w:rPr>
      <w:tcPr>
        <w:shd w:val="clear" w:color="000000" w:fill="000000"/>
      </w:tcPr>
    </w:tblStylePr>
    <w:tblStylePr w:type="band1Vert">
      <w:tcPr>
        <w:shd w:val="clear" w:color="898989" w:fill="898989"/>
      </w:tcPr>
    </w:tblStylePr>
    <w:tblStylePr w:type="band2Vert"/>
    <w:tblStylePr w:type="band1Horz">
      <w:tcPr>
        <w:shd w:val="clear" w:color="898989" w:fill="898989"/>
      </w:tcPr>
    </w:tblStylePr>
    <w:tblStylePr w:type="band2Horz"/>
    <w:tblStylePr w:type="neCell"/>
    <w:tblStylePr w:type="nwCell"/>
    <w:tblStylePr w:type="seCell"/>
    <w:tblStylePr w:type="swCell"/>
  </w:style>
  <w:style w:type="table" w:customStyle="1" w:styleId="72">
    <w:name w:val="Grid Table 5 Dark- Accent 1"/>
    <w:basedOn w:val="3"/>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5B9BD5" w:fill="5B9BD5"/>
      </w:tcPr>
    </w:tblStylePr>
    <w:tblStylePr w:type="lastRow">
      <w:rPr>
        <w:rFonts w:ascii="Arial" w:hAnsi="Arial"/>
        <w:b/>
        <w:color w:val="FFFFFF"/>
        <w:sz w:val="22"/>
      </w:rPr>
      <w:tcPr>
        <w:tcBorders>
          <w:top w:val="single" w:color="FFFFFF" w:themeColor="light1" w:sz="4" w:space="0"/>
        </w:tcBorders>
        <w:shd w:val="clear" w:color="5B9BD5" w:fill="5B9BD5"/>
      </w:tcPr>
    </w:tblStylePr>
    <w:tblStylePr w:type="firstCol">
      <w:rPr>
        <w:rFonts w:ascii="Arial" w:hAnsi="Arial"/>
        <w:b/>
        <w:color w:val="FFFFFF"/>
        <w:sz w:val="22"/>
      </w:rPr>
      <w:tcPr>
        <w:shd w:val="clear" w:color="5B9BD5" w:fill="5B9BD5"/>
      </w:tcPr>
    </w:tblStylePr>
    <w:tblStylePr w:type="lastCol">
      <w:rPr>
        <w:rFonts w:ascii="Arial" w:hAnsi="Arial"/>
        <w:b/>
        <w:color w:val="FFFFFF"/>
        <w:sz w:val="22"/>
      </w:rPr>
      <w:tcPr>
        <w:shd w:val="clear" w:color="5B9BD5" w:fill="5B9BD5"/>
      </w:tcPr>
    </w:tblStylePr>
    <w:tblStylePr w:type="band1Vert">
      <w:tcPr>
        <w:shd w:val="clear" w:color="B3D1EB" w:fill="B3D1EB"/>
      </w:tcPr>
    </w:tblStylePr>
    <w:tblStylePr w:type="band2Vert"/>
    <w:tblStylePr w:type="band1Horz">
      <w:tcPr>
        <w:shd w:val="clear" w:color="B3D1EB" w:fill="B3D1EB"/>
      </w:tcPr>
    </w:tblStylePr>
    <w:tblStylePr w:type="band2Horz"/>
    <w:tblStylePr w:type="neCell"/>
    <w:tblStylePr w:type="nwCell"/>
    <w:tblStylePr w:type="seCell"/>
    <w:tblStylePr w:type="swCell"/>
  </w:style>
  <w:style w:type="table" w:customStyle="1" w:styleId="73">
    <w:name w:val="Grid Table 5 Dark - Accent 2"/>
    <w:basedOn w:val="3"/>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ED7D31" w:fill="ED7D31"/>
      </w:tcPr>
    </w:tblStylePr>
    <w:tblStylePr w:type="lastRow">
      <w:rPr>
        <w:rFonts w:ascii="Arial" w:hAnsi="Arial"/>
        <w:b/>
        <w:color w:val="FFFFFF"/>
        <w:sz w:val="22"/>
      </w:rPr>
      <w:tcPr>
        <w:tcBorders>
          <w:top w:val="single" w:color="FFFFFF" w:themeColor="light1" w:sz="4" w:space="0"/>
        </w:tcBorders>
        <w:shd w:val="clear" w:color="ED7D31" w:fill="ED7D31"/>
      </w:tcPr>
    </w:tblStylePr>
    <w:tblStylePr w:type="firstCol">
      <w:rPr>
        <w:rFonts w:ascii="Arial" w:hAnsi="Arial"/>
        <w:b/>
        <w:color w:val="FFFFFF"/>
        <w:sz w:val="22"/>
      </w:rPr>
      <w:tcPr>
        <w:shd w:val="clear" w:color="ED7D31" w:fill="ED7D31"/>
      </w:tcPr>
    </w:tblStylePr>
    <w:tblStylePr w:type="lastCol">
      <w:rPr>
        <w:rFonts w:ascii="Arial" w:hAnsi="Arial"/>
        <w:b/>
        <w:color w:val="FFFFFF"/>
        <w:sz w:val="22"/>
      </w:rPr>
      <w:tcPr>
        <w:shd w:val="clear" w:color="ED7D31" w:fill="ED7D31"/>
      </w:tcPr>
    </w:tblStylePr>
    <w:tblStylePr w:type="band1Vert">
      <w:tcPr>
        <w:shd w:val="clear" w:color="F6C3A0" w:fill="F6C3A0"/>
      </w:tcPr>
    </w:tblStylePr>
    <w:tblStylePr w:type="band2Vert"/>
    <w:tblStylePr w:type="band1Horz">
      <w:tcPr>
        <w:shd w:val="clear" w:color="F6C3A0" w:fill="F6C3A0"/>
      </w:tcPr>
    </w:tblStylePr>
    <w:tblStylePr w:type="band2Horz"/>
    <w:tblStylePr w:type="neCell"/>
    <w:tblStylePr w:type="nwCell"/>
    <w:tblStylePr w:type="seCell"/>
    <w:tblStylePr w:type="swCell"/>
  </w:style>
  <w:style w:type="table" w:customStyle="1" w:styleId="74">
    <w:name w:val="Grid Table 5 Dark - Accent 3"/>
    <w:basedOn w:val="3"/>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A5A5A5" w:fill="A5A5A5"/>
      </w:tcPr>
    </w:tblStylePr>
    <w:tblStylePr w:type="lastRow">
      <w:rPr>
        <w:rFonts w:ascii="Arial" w:hAnsi="Arial"/>
        <w:b/>
        <w:color w:val="FFFFFF"/>
        <w:sz w:val="22"/>
      </w:rPr>
      <w:tcPr>
        <w:tcBorders>
          <w:top w:val="single" w:color="FFFFFF" w:themeColor="light1" w:sz="4" w:space="0"/>
        </w:tcBorders>
        <w:shd w:val="clear" w:color="A5A5A5" w:fill="A5A5A5"/>
      </w:tcPr>
    </w:tblStylePr>
    <w:tblStylePr w:type="firstCol">
      <w:rPr>
        <w:rFonts w:ascii="Arial" w:hAnsi="Arial"/>
        <w:b/>
        <w:color w:val="FFFFFF"/>
        <w:sz w:val="22"/>
      </w:rPr>
      <w:tcPr>
        <w:shd w:val="clear" w:color="A5A5A5" w:fill="A5A5A5"/>
      </w:tcPr>
    </w:tblStylePr>
    <w:tblStylePr w:type="lastCol">
      <w:rPr>
        <w:rFonts w:ascii="Arial" w:hAnsi="Arial"/>
        <w:b/>
        <w:color w:val="FFFFFF"/>
        <w:sz w:val="22"/>
      </w:rPr>
      <w:tcPr>
        <w:shd w:val="clear" w:color="A5A5A5" w:fill="A5A5A5"/>
      </w:tcPr>
    </w:tblStylePr>
    <w:tblStylePr w:type="band1Vert">
      <w:tcPr>
        <w:shd w:val="clear" w:color="D5D5D5" w:fill="D5D5D5"/>
      </w:tcPr>
    </w:tblStylePr>
    <w:tblStylePr w:type="band2Vert"/>
    <w:tblStylePr w:type="band1Horz">
      <w:tcPr>
        <w:shd w:val="clear" w:color="D5D5D5" w:fill="D5D5D5"/>
      </w:tcPr>
    </w:tblStylePr>
    <w:tblStylePr w:type="band2Horz"/>
    <w:tblStylePr w:type="neCell"/>
    <w:tblStylePr w:type="nwCell"/>
    <w:tblStylePr w:type="seCell"/>
    <w:tblStylePr w:type="swCell"/>
  </w:style>
  <w:style w:type="table" w:customStyle="1" w:styleId="75">
    <w:name w:val="Grid Table 5 Dark- Accent 4"/>
    <w:basedOn w:val="3"/>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FFC000" w:fill="FFC000"/>
      </w:tcPr>
    </w:tblStylePr>
    <w:tblStylePr w:type="lastRow">
      <w:rPr>
        <w:rFonts w:ascii="Arial" w:hAnsi="Arial"/>
        <w:b/>
        <w:color w:val="FFFFFF"/>
        <w:sz w:val="22"/>
      </w:rPr>
      <w:tcPr>
        <w:tcBorders>
          <w:top w:val="single" w:color="FFFFFF" w:themeColor="light1" w:sz="4" w:space="0"/>
        </w:tcBorders>
        <w:shd w:val="clear" w:color="FFC000" w:fill="FFC000"/>
      </w:tcPr>
    </w:tblStylePr>
    <w:tblStylePr w:type="firstCol">
      <w:rPr>
        <w:rFonts w:ascii="Arial" w:hAnsi="Arial"/>
        <w:b/>
        <w:color w:val="FFFFFF"/>
        <w:sz w:val="22"/>
      </w:rPr>
      <w:tcPr>
        <w:shd w:val="clear" w:color="FFC000" w:fill="FFC000"/>
      </w:tcPr>
    </w:tblStylePr>
    <w:tblStylePr w:type="lastCol">
      <w:rPr>
        <w:rFonts w:ascii="Arial" w:hAnsi="Arial"/>
        <w:b/>
        <w:color w:val="FFFFFF"/>
        <w:sz w:val="22"/>
      </w:rPr>
      <w:tcPr>
        <w:shd w:val="clear" w:color="FFC000" w:fill="FFC000"/>
      </w:tcPr>
    </w:tblStylePr>
    <w:tblStylePr w:type="band1Vert">
      <w:tcPr>
        <w:shd w:val="clear" w:color="FEE289" w:fill="FEE289"/>
      </w:tcPr>
    </w:tblStylePr>
    <w:tblStylePr w:type="band2Vert"/>
    <w:tblStylePr w:type="band1Horz">
      <w:tcPr>
        <w:shd w:val="clear" w:color="FEE289" w:fill="FEE289"/>
      </w:tcPr>
    </w:tblStylePr>
    <w:tblStylePr w:type="band2Horz"/>
    <w:tblStylePr w:type="neCell"/>
    <w:tblStylePr w:type="nwCell"/>
    <w:tblStylePr w:type="seCell"/>
    <w:tblStylePr w:type="swCell"/>
  </w:style>
  <w:style w:type="table" w:customStyle="1" w:styleId="76">
    <w:name w:val="Grid Table 5 Dark - Accent 5"/>
    <w:basedOn w:val="3"/>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4472C4" w:fill="4472C4"/>
      </w:tcPr>
    </w:tblStylePr>
    <w:tblStylePr w:type="lastRow">
      <w:rPr>
        <w:rFonts w:ascii="Arial" w:hAnsi="Arial"/>
        <w:b/>
        <w:color w:val="FFFFFF"/>
        <w:sz w:val="22"/>
      </w:rPr>
      <w:tcPr>
        <w:tcBorders>
          <w:top w:val="single" w:color="FFFFFF" w:themeColor="light1" w:sz="4" w:space="0"/>
        </w:tcBorders>
        <w:shd w:val="clear" w:color="4472C4" w:fill="4472C4"/>
      </w:tcPr>
    </w:tblStylePr>
    <w:tblStylePr w:type="firstCol">
      <w:rPr>
        <w:rFonts w:ascii="Arial" w:hAnsi="Arial"/>
        <w:b/>
        <w:color w:val="FFFFFF"/>
        <w:sz w:val="22"/>
      </w:rPr>
      <w:tcPr>
        <w:shd w:val="clear" w:color="4472C4" w:fill="4472C4"/>
      </w:tcPr>
    </w:tblStylePr>
    <w:tblStylePr w:type="lastCol">
      <w:rPr>
        <w:rFonts w:ascii="Arial" w:hAnsi="Arial"/>
        <w:b/>
        <w:color w:val="FFFFFF"/>
        <w:sz w:val="22"/>
      </w:rPr>
      <w:tcPr>
        <w:shd w:val="clear" w:color="4472C4" w:fill="4472C4"/>
      </w:tcPr>
    </w:tblStylePr>
    <w:tblStylePr w:type="band1Vert">
      <w:tcPr>
        <w:shd w:val="clear" w:color="A9BEE3" w:fill="A9BEE3"/>
      </w:tcPr>
    </w:tblStylePr>
    <w:tblStylePr w:type="band2Vert"/>
    <w:tblStylePr w:type="band1Horz">
      <w:tcPr>
        <w:shd w:val="clear" w:color="A9BEE3" w:fill="A9BEE3"/>
      </w:tcPr>
    </w:tblStylePr>
    <w:tblStylePr w:type="band2Horz"/>
    <w:tblStylePr w:type="neCell"/>
    <w:tblStylePr w:type="nwCell"/>
    <w:tblStylePr w:type="seCell"/>
    <w:tblStylePr w:type="swCell"/>
  </w:style>
  <w:style w:type="table" w:customStyle="1" w:styleId="77">
    <w:name w:val="Grid Table 5 Dark - Accent 6"/>
    <w:basedOn w:val="3"/>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70AD47" w:fill="70AD47"/>
      </w:tcPr>
    </w:tblStylePr>
    <w:tblStylePr w:type="lastRow">
      <w:rPr>
        <w:rFonts w:ascii="Arial" w:hAnsi="Arial"/>
        <w:b/>
        <w:color w:val="FFFFFF"/>
        <w:sz w:val="22"/>
      </w:rPr>
      <w:tcPr>
        <w:tcBorders>
          <w:top w:val="single" w:color="FFFFFF" w:themeColor="light1" w:sz="4" w:space="0"/>
        </w:tcBorders>
        <w:shd w:val="clear" w:color="70AD47" w:fill="70AD47"/>
      </w:tcPr>
    </w:tblStylePr>
    <w:tblStylePr w:type="firstCol">
      <w:rPr>
        <w:rFonts w:ascii="Arial" w:hAnsi="Arial"/>
        <w:b/>
        <w:color w:val="FFFFFF"/>
        <w:sz w:val="22"/>
      </w:rPr>
      <w:tcPr>
        <w:shd w:val="clear" w:color="70AD47" w:fill="70AD47"/>
      </w:tcPr>
    </w:tblStylePr>
    <w:tblStylePr w:type="lastCol">
      <w:rPr>
        <w:rFonts w:ascii="Arial" w:hAnsi="Arial"/>
        <w:b/>
        <w:color w:val="FFFFFF"/>
        <w:sz w:val="22"/>
      </w:rPr>
      <w:tcPr>
        <w:shd w:val="clear" w:color="70AD47" w:fill="70AD47"/>
      </w:tcPr>
    </w:tblStylePr>
    <w:tblStylePr w:type="band1Vert">
      <w:tcPr>
        <w:shd w:val="clear" w:color="BCDBA8" w:fill="BCDBA8"/>
      </w:tcPr>
    </w:tblStylePr>
    <w:tblStylePr w:type="band2Vert"/>
    <w:tblStylePr w:type="band1Horz">
      <w:tcPr>
        <w:shd w:val="clear" w:color="BCDBA8" w:fill="BCDBA8"/>
      </w:tcPr>
    </w:tblStylePr>
    <w:tblStylePr w:type="band2Horz"/>
    <w:tblStylePr w:type="neCell"/>
    <w:tblStylePr w:type="nwCell"/>
    <w:tblStylePr w:type="seCell"/>
    <w:tblStylePr w:type="swCell"/>
  </w:style>
  <w:style w:type="table" w:customStyle="1" w:styleId="78">
    <w:name w:val="Grid Table 6 Colorful"/>
    <w:basedOn w:val="3"/>
    <w:qFormat/>
    <w:uiPriority w:val="99"/>
    <w:pPr>
      <w:spacing w:after="0" w:line="240" w:lineRule="auto"/>
    </w:pPr>
    <w:tblPr>
      <w:tbl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insideH w:val="single" w:color="7E7E7E" w:themeColor="text1" w:themeTint="80" w:sz="4" w:space="0"/>
        <w:insideV w:val="single" w:color="7E7E7E" w:themeColor="text1" w:themeTint="80" w:sz="4" w:space="0"/>
      </w:tblBorders>
    </w:tblPr>
    <w:tblStylePr w:type="firstRow">
      <w:rPr>
        <w:b/>
        <w:color w:val="808080" w:themeColor="text1" w:themeTint="80"/>
        <w14:textFill>
          <w14:solidFill>
            <w14:schemeClr w14:val="tx1">
              <w14:lumMod w14:val="50000"/>
              <w14:lumOff w14:val="50000"/>
            </w14:schemeClr>
          </w14:solidFill>
        </w14:textFill>
      </w:rPr>
      <w:tcPr>
        <w:tcBorders>
          <w:bottom w:val="single" w:color="7E7E7E" w:themeColor="text1" w:themeTint="80" w:sz="12" w:space="0"/>
        </w:tcBorders>
      </w:tcPr>
    </w:tblStylePr>
    <w:tblStylePr w:type="lastRow">
      <w:rPr>
        <w:b/>
        <w:color w:val="808080" w:themeColor="text1" w:themeTint="80"/>
        <w14:textFill>
          <w14:solidFill>
            <w14:schemeClr w14:val="tx1">
              <w14:lumMod w14:val="50000"/>
              <w14:lumOff w14:val="50000"/>
            </w14:schemeClr>
          </w14:solidFill>
        </w14:textFill>
      </w:rPr>
    </w:tblStylePr>
    <w:tblStylePr w:type="firstCol">
      <w:rPr>
        <w:b/>
        <w:color w:val="808080" w:themeColor="text1" w:themeTint="80"/>
        <w14:textFill>
          <w14:solidFill>
            <w14:schemeClr w14:val="tx1">
              <w14:lumMod w14:val="50000"/>
              <w14:lumOff w14:val="50000"/>
            </w14:schemeClr>
          </w14:solidFill>
        </w14:textFill>
      </w:rPr>
    </w:tblStylePr>
    <w:tblStylePr w:type="lastCol">
      <w:rPr>
        <w:b/>
        <w:color w:val="808080" w:themeColor="text1" w:themeTint="80"/>
        <w14:textFill>
          <w14:solidFill>
            <w14:schemeClr w14:val="tx1">
              <w14:lumMod w14:val="50000"/>
              <w14:lumOff w14:val="50000"/>
            </w14:schemeClr>
          </w14:solidFill>
        </w14:textFill>
      </w:rPr>
    </w:tblStylePr>
    <w:tblStylePr w:type="band1Vert">
      <w:tcPr>
        <w:shd w:val="clear" w:color="CACACA" w:fill="CACACA"/>
      </w:tcPr>
    </w:tblStylePr>
    <w:tblStylePr w:type="band2Vert"/>
    <w:tblStylePr w:type="band1Horz">
      <w:rPr>
        <w:rFonts w:ascii="Arial" w:hAnsi="Arial"/>
        <w:color w:val="808080" w:themeColor="text1" w:themeTint="80"/>
        <w:sz w:val="22"/>
        <w14:textFill>
          <w14:solidFill>
            <w14:schemeClr w14:val="tx1">
              <w14:lumMod w14:val="50000"/>
              <w14:lumOff w14:val="50000"/>
            </w14:schemeClr>
          </w14:solidFill>
        </w14:textFill>
      </w:rPr>
      <w:tcPr>
        <w:shd w:val="clear" w:color="CACACA" w:fill="CACACA"/>
      </w:tcPr>
    </w:tblStylePr>
    <w:tblStylePr w:type="band2Horz">
      <w:rPr>
        <w:rFonts w:ascii="Arial" w:hAnsi="Arial"/>
        <w:color w:val="808080" w:themeColor="text1" w:themeTint="80"/>
        <w:sz w:val="22"/>
        <w14:textFill>
          <w14:solidFill>
            <w14:schemeClr w14:val="tx1">
              <w14:lumMod w14:val="50000"/>
              <w14:lumOff w14:val="50000"/>
            </w14:schemeClr>
          </w14:solidFill>
        </w14:textFill>
      </w:rPr>
    </w:tblStylePr>
    <w:tblStylePr w:type="neCell"/>
    <w:tblStylePr w:type="nwCell"/>
    <w:tblStylePr w:type="seCell"/>
    <w:tblStylePr w:type="swCell"/>
  </w:style>
  <w:style w:type="table" w:customStyle="1" w:styleId="79">
    <w:name w:val="Grid Table 6 Colorful - Accent 1"/>
    <w:basedOn w:val="3"/>
    <w:qFormat/>
    <w:uiPriority w:val="99"/>
    <w:pPr>
      <w:spacing w:after="0" w:line="240" w:lineRule="auto"/>
    </w:pPr>
    <w:tblPr>
      <w:tblBorders>
        <w:top w:val="single" w:color="ACCCE9" w:themeColor="accent1" w:themeTint="80" w:sz="4" w:space="0"/>
        <w:left w:val="single" w:color="ACCCE9" w:themeColor="accent1" w:themeTint="80" w:sz="4" w:space="0"/>
        <w:bottom w:val="single" w:color="ACCCE9" w:themeColor="accent1" w:themeTint="80" w:sz="4" w:space="0"/>
        <w:right w:val="single" w:color="ACCCE9" w:themeColor="accent1" w:themeTint="80" w:sz="4" w:space="0"/>
        <w:insideH w:val="single" w:color="ACCCE9" w:themeColor="accent1" w:themeTint="80" w:sz="4" w:space="0"/>
        <w:insideV w:val="single" w:color="ACCCE9" w:themeColor="accent1" w:themeTint="80" w:sz="4" w:space="0"/>
      </w:tblBorders>
    </w:tblPr>
    <w:tblStylePr w:type="firstRow">
      <w:rPr>
        <w:b/>
        <w:color w:val="ADCDEA" w:themeColor="accent1" w:themeTint="80"/>
        <w14:textFill>
          <w14:solidFill>
            <w14:schemeClr w14:val="accent1">
              <w14:lumMod w14:val="50000"/>
              <w14:lumOff w14:val="50000"/>
            </w14:schemeClr>
          </w14:solidFill>
        </w14:textFill>
      </w:rPr>
      <w:tcPr>
        <w:tcBorders>
          <w:bottom w:val="single" w:color="ACCCE9" w:themeColor="accent1" w:themeTint="80" w:sz="12" w:space="0"/>
        </w:tcBorders>
      </w:tcPr>
    </w:tblStylePr>
    <w:tblStylePr w:type="lastRow">
      <w:rPr>
        <w:b/>
        <w:color w:val="ADCDEA" w:themeColor="accent1" w:themeTint="80"/>
        <w14:textFill>
          <w14:solidFill>
            <w14:schemeClr w14:val="accent1">
              <w14:lumMod w14:val="50000"/>
              <w14:lumOff w14:val="50000"/>
            </w14:schemeClr>
          </w14:solidFill>
        </w14:textFill>
      </w:rPr>
    </w:tblStylePr>
    <w:tblStylePr w:type="firstCol">
      <w:rPr>
        <w:b/>
        <w:color w:val="ADCDEA" w:themeColor="accent1" w:themeTint="80"/>
        <w14:textFill>
          <w14:solidFill>
            <w14:schemeClr w14:val="accent1">
              <w14:lumMod w14:val="50000"/>
              <w14:lumOff w14:val="50000"/>
            </w14:schemeClr>
          </w14:solidFill>
        </w14:textFill>
      </w:rPr>
    </w:tblStylePr>
    <w:tblStylePr w:type="lastCol">
      <w:rPr>
        <w:b/>
        <w:color w:val="ADCDEA" w:themeColor="accent1" w:themeTint="80"/>
        <w14:textFill>
          <w14:solidFill>
            <w14:schemeClr w14:val="accent1">
              <w14:lumMod w14:val="50000"/>
              <w14:lumOff w14:val="50000"/>
            </w14:schemeClr>
          </w14:solidFill>
        </w14:textFill>
      </w:rPr>
    </w:tblStylePr>
    <w:tblStylePr w:type="band1Vert">
      <w:tcPr>
        <w:shd w:val="clear" w:color="DDEAF6" w:fill="DDEAF6"/>
      </w:tcPr>
    </w:tblStylePr>
    <w:tblStylePr w:type="band2Vert"/>
    <w:tblStylePr w:type="band1Horz">
      <w:rPr>
        <w:rFonts w:ascii="Arial" w:hAnsi="Arial"/>
        <w:color w:val="ADCDEA" w:themeColor="accent1" w:themeTint="80"/>
        <w:sz w:val="22"/>
        <w14:textFill>
          <w14:solidFill>
            <w14:schemeClr w14:val="accent1">
              <w14:lumMod w14:val="50000"/>
              <w14:lumOff w14:val="50000"/>
            </w14:schemeClr>
          </w14:solidFill>
        </w14:textFill>
      </w:rPr>
      <w:tcPr>
        <w:shd w:val="clear" w:color="DDEAF6" w:fill="DDEAF6"/>
      </w:tcPr>
    </w:tblStylePr>
    <w:tblStylePr w:type="band2Horz">
      <w:rPr>
        <w:rFonts w:ascii="Arial" w:hAnsi="Arial"/>
        <w:color w:val="ADCDEA" w:themeColor="accent1" w:themeTint="80"/>
        <w:sz w:val="22"/>
        <w14:textFill>
          <w14:solidFill>
            <w14:schemeClr w14:val="accent1">
              <w14:lumMod w14:val="50000"/>
              <w14:lumOff w14:val="50000"/>
            </w14:schemeClr>
          </w14:solidFill>
        </w14:textFill>
      </w:rPr>
    </w:tblStylePr>
    <w:tblStylePr w:type="neCell"/>
    <w:tblStylePr w:type="nwCell"/>
    <w:tblStylePr w:type="seCell"/>
    <w:tblStylePr w:type="swCell"/>
  </w:style>
  <w:style w:type="table" w:customStyle="1" w:styleId="80">
    <w:name w:val="Grid Table 6 Colorful - Accent 2"/>
    <w:basedOn w:val="3"/>
    <w:qFormat/>
    <w:uiPriority w:val="99"/>
    <w:pPr>
      <w:spacing w:after="0" w:line="240" w:lineRule="auto"/>
    </w:pPr>
    <w:tblPr>
      <w:tblBorders>
        <w:top w:val="single" w:color="F4B285" w:themeColor="accent2" w:themeTint="97" w:sz="4" w:space="0"/>
        <w:left w:val="single" w:color="F4B285" w:themeColor="accent2" w:themeTint="97" w:sz="4" w:space="0"/>
        <w:bottom w:val="single" w:color="F4B285" w:themeColor="accent2" w:themeTint="97" w:sz="4" w:space="0"/>
        <w:right w:val="single" w:color="F4B285" w:themeColor="accent2" w:themeTint="97" w:sz="4" w:space="0"/>
        <w:insideH w:val="single" w:color="F4B285" w:themeColor="accent2" w:themeTint="97" w:sz="4" w:space="0"/>
        <w:insideV w:val="single" w:color="F4B285" w:themeColor="accent2" w:themeTint="97" w:sz="4" w:space="0"/>
      </w:tblBorders>
    </w:tblPr>
    <w:tblStylePr w:type="firstRow">
      <w:rPr>
        <w:b/>
        <w:color w:val="F4B285" w:themeColor="accent2" w:themeTint="96"/>
        <w14:textFill>
          <w14:solidFill>
            <w14:schemeClr w14:val="accent2">
              <w14:lumMod w14:val="59000"/>
              <w14:lumOff w14:val="41000"/>
            </w14:schemeClr>
          </w14:solidFill>
        </w14:textFill>
      </w:rPr>
      <w:tcPr>
        <w:tcBorders>
          <w:bottom w:val="single" w:color="F4B285" w:themeColor="accent2" w:themeTint="97" w:sz="12" w:space="0"/>
        </w:tcBorders>
      </w:tcPr>
    </w:tblStylePr>
    <w:tblStylePr w:type="lastRow">
      <w:rPr>
        <w:b/>
        <w:color w:val="F4B285" w:themeColor="accent2" w:themeTint="96"/>
        <w14:textFill>
          <w14:solidFill>
            <w14:schemeClr w14:val="accent2">
              <w14:lumMod w14:val="59000"/>
              <w14:lumOff w14:val="41000"/>
            </w14:schemeClr>
          </w14:solidFill>
        </w14:textFill>
      </w:rPr>
    </w:tblStylePr>
    <w:tblStylePr w:type="firstCol">
      <w:rPr>
        <w:b/>
        <w:color w:val="F4B285" w:themeColor="accent2" w:themeTint="96"/>
        <w14:textFill>
          <w14:solidFill>
            <w14:schemeClr w14:val="accent2">
              <w14:lumMod w14:val="59000"/>
              <w14:lumOff w14:val="41000"/>
            </w14:schemeClr>
          </w14:solidFill>
        </w14:textFill>
      </w:rPr>
    </w:tblStylePr>
    <w:tblStylePr w:type="lastCol">
      <w:rPr>
        <w:b/>
        <w:color w:val="F4B285" w:themeColor="accent2" w:themeTint="96"/>
        <w14:textFill>
          <w14:solidFill>
            <w14:schemeClr w14:val="accent2">
              <w14:lumMod w14:val="59000"/>
              <w14:lumOff w14:val="41000"/>
            </w14:schemeClr>
          </w14:solidFill>
        </w14:textFill>
      </w:rPr>
    </w:tblStylePr>
    <w:tblStylePr w:type="band1Vert">
      <w:tcPr>
        <w:shd w:val="clear" w:color="FBE5D6" w:fill="FBE5D6"/>
      </w:tcPr>
    </w:tblStylePr>
    <w:tblStylePr w:type="band2Vert"/>
    <w:tblStylePr w:type="band1Horz">
      <w:rPr>
        <w:rFonts w:ascii="Arial" w:hAnsi="Arial"/>
        <w:color w:val="F4B285" w:themeColor="accent2" w:themeTint="96"/>
        <w:sz w:val="22"/>
        <w14:textFill>
          <w14:solidFill>
            <w14:schemeClr w14:val="accent2">
              <w14:lumMod w14:val="59000"/>
              <w14:lumOff w14:val="41000"/>
            </w14:schemeClr>
          </w14:solidFill>
        </w14:textFill>
      </w:rPr>
      <w:tcPr>
        <w:shd w:val="clear" w:color="FBE5D6" w:fill="FBE5D6"/>
      </w:tcPr>
    </w:tblStylePr>
    <w:tblStylePr w:type="band2Horz">
      <w:rPr>
        <w:rFonts w:ascii="Arial" w:hAnsi="Arial"/>
        <w:color w:val="F4B285" w:themeColor="accent2" w:themeTint="96"/>
        <w:sz w:val="22"/>
        <w14:textFill>
          <w14:solidFill>
            <w14:schemeClr w14:val="accent2">
              <w14:lumMod w14:val="59000"/>
              <w14:lumOff w14:val="41000"/>
            </w14:schemeClr>
          </w14:solidFill>
        </w14:textFill>
      </w:rPr>
    </w:tblStylePr>
    <w:tblStylePr w:type="neCell"/>
    <w:tblStylePr w:type="nwCell"/>
    <w:tblStylePr w:type="seCell"/>
    <w:tblStylePr w:type="swCell"/>
  </w:style>
  <w:style w:type="table" w:customStyle="1" w:styleId="81">
    <w:name w:val="Grid Table 6 Colorful - Accent 3"/>
    <w:basedOn w:val="3"/>
    <w:qFormat/>
    <w:uiPriority w:val="99"/>
    <w:pPr>
      <w:spacing w:after="0" w:line="240" w:lineRule="auto"/>
    </w:pPr>
    <w:tblPr>
      <w:tblBorders>
        <w:top w:val="single" w:color="A5A5A5" w:themeColor="accent3" w:themeTint="FE" w:sz="4" w:space="0"/>
        <w:left w:val="single" w:color="A5A5A5" w:themeColor="accent3" w:themeTint="FE" w:sz="4" w:space="0"/>
        <w:bottom w:val="single" w:color="A5A5A5" w:themeColor="accent3" w:themeTint="FE" w:sz="4" w:space="0"/>
        <w:right w:val="single" w:color="A5A5A5" w:themeColor="accent3" w:themeTint="FE" w:sz="4" w:space="0"/>
        <w:insideH w:val="single" w:color="A5A5A5" w:themeColor="accent3" w:themeTint="FE" w:sz="4" w:space="0"/>
        <w:insideV w:val="single" w:color="A5A5A5" w:themeColor="accent3" w:themeTint="FE" w:sz="4" w:space="0"/>
      </w:tblBorders>
    </w:tblPr>
    <w:tblStylePr w:type="firstRow">
      <w:rPr>
        <w:b/>
        <w:color w:val="A5A5A5" w:themeColor="accent3" w:themeTint="FF"/>
        <w14:textFill>
          <w14:solidFill>
            <w14:schemeClr w14:val="accent3">
              <w14:lumMod w14:val="100000"/>
              <w14:lumOff w14:val="0"/>
            </w14:schemeClr>
          </w14:solidFill>
        </w14:textFill>
      </w:rPr>
      <w:tcPr>
        <w:tcBorders>
          <w:bottom w:val="single" w:color="A5A5A5" w:themeColor="accent3" w:themeTint="FE" w:sz="12" w:space="0"/>
        </w:tcBorders>
      </w:tcPr>
    </w:tblStylePr>
    <w:tblStylePr w:type="lastRow">
      <w:rPr>
        <w:b/>
        <w:color w:val="A5A5A5" w:themeColor="accent3" w:themeTint="FF"/>
        <w14:textFill>
          <w14:solidFill>
            <w14:schemeClr w14:val="accent3">
              <w14:lumMod w14:val="100000"/>
              <w14:lumOff w14:val="0"/>
            </w14:schemeClr>
          </w14:solidFill>
        </w14:textFill>
      </w:rPr>
    </w:tblStylePr>
    <w:tblStylePr w:type="firstCol">
      <w:rPr>
        <w:b/>
        <w:color w:val="A5A5A5" w:themeColor="accent3" w:themeTint="FF"/>
        <w14:textFill>
          <w14:solidFill>
            <w14:schemeClr w14:val="accent3">
              <w14:lumMod w14:val="100000"/>
              <w14:lumOff w14:val="0"/>
            </w14:schemeClr>
          </w14:solidFill>
        </w14:textFill>
      </w:rPr>
    </w:tblStylePr>
    <w:tblStylePr w:type="lastCol">
      <w:rPr>
        <w:b/>
        <w:color w:val="A5A5A5" w:themeColor="accent3" w:themeTint="FF"/>
        <w14:textFill>
          <w14:solidFill>
            <w14:schemeClr w14:val="accent3">
              <w14:lumMod w14:val="100000"/>
              <w14:lumOff w14:val="0"/>
            </w14:schemeClr>
          </w14:solidFill>
        </w14:textFill>
      </w:rPr>
    </w:tblStylePr>
    <w:tblStylePr w:type="band1Vert">
      <w:tcPr>
        <w:shd w:val="clear" w:color="ECECEC" w:fill="ECECEC"/>
      </w:tcPr>
    </w:tblStylePr>
    <w:tblStylePr w:type="band2Vert"/>
    <w:tblStylePr w:type="band1Horz">
      <w:rPr>
        <w:rFonts w:ascii="Arial" w:hAnsi="Arial"/>
        <w:color w:val="A5A5A5" w:themeColor="accent3" w:themeTint="FF"/>
        <w:sz w:val="22"/>
        <w14:textFill>
          <w14:solidFill>
            <w14:schemeClr w14:val="accent3">
              <w14:lumMod w14:val="100000"/>
              <w14:lumOff w14:val="0"/>
            </w14:schemeClr>
          </w14:solidFill>
        </w14:textFill>
      </w:rPr>
      <w:tcPr>
        <w:shd w:val="clear" w:color="ECECEC" w:fill="ECECEC"/>
      </w:tcPr>
    </w:tblStylePr>
    <w:tblStylePr w:type="band2Horz">
      <w:rPr>
        <w:rFonts w:ascii="Arial" w:hAnsi="Arial"/>
        <w:color w:val="A5A5A5" w:themeColor="accent3" w:themeTint="FF"/>
        <w:sz w:val="22"/>
        <w14:textFill>
          <w14:solidFill>
            <w14:schemeClr w14:val="accent3">
              <w14:lumMod w14:val="100000"/>
              <w14:lumOff w14:val="0"/>
            </w14:schemeClr>
          </w14:solidFill>
        </w14:textFill>
      </w:rPr>
    </w:tblStylePr>
    <w:tblStylePr w:type="neCell"/>
    <w:tblStylePr w:type="nwCell"/>
    <w:tblStylePr w:type="seCell"/>
    <w:tblStylePr w:type="swCell"/>
  </w:style>
  <w:style w:type="table" w:customStyle="1" w:styleId="82">
    <w:name w:val="Grid Table 6 Colorful - Accent 4"/>
    <w:basedOn w:val="3"/>
    <w:qFormat/>
    <w:uiPriority w:val="99"/>
    <w:pPr>
      <w:spacing w:after="0" w:line="240" w:lineRule="auto"/>
    </w:pPr>
    <w:tblPr>
      <w:tblBorders>
        <w:top w:val="single" w:color="FFD864" w:themeColor="accent4" w:themeTint="9A" w:sz="4" w:space="0"/>
        <w:left w:val="single" w:color="FFD864" w:themeColor="accent4" w:themeTint="9A" w:sz="4" w:space="0"/>
        <w:bottom w:val="single" w:color="FFD864" w:themeColor="accent4" w:themeTint="9A" w:sz="4" w:space="0"/>
        <w:right w:val="single" w:color="FFD864" w:themeColor="accent4" w:themeTint="9A" w:sz="4" w:space="0"/>
        <w:insideH w:val="single" w:color="FFD864" w:themeColor="accent4" w:themeTint="9A" w:sz="4" w:space="0"/>
        <w:insideV w:val="single" w:color="FFD864" w:themeColor="accent4" w:themeTint="9A" w:sz="4" w:space="0"/>
      </w:tblBorders>
    </w:tblPr>
    <w:tblStylePr w:type="firstRow">
      <w:rPr>
        <w:b/>
        <w:color w:val="FFD966" w:themeColor="accent4" w:themeTint="99"/>
        <w14:textFill>
          <w14:solidFill>
            <w14:schemeClr w14:val="accent4">
              <w14:lumMod w14:val="60000"/>
              <w14:lumOff w14:val="40000"/>
            </w14:schemeClr>
          </w14:solidFill>
        </w14:textFill>
      </w:rPr>
      <w:tcPr>
        <w:tcBorders>
          <w:bottom w:val="single" w:color="FFD864" w:themeColor="accent4" w:themeTint="9A" w:sz="12" w:space="0"/>
        </w:tcBorders>
      </w:tcPr>
    </w:tblStylePr>
    <w:tblStylePr w:type="lastRow">
      <w:rPr>
        <w:b/>
        <w:color w:val="FFD966" w:themeColor="accent4" w:themeTint="99"/>
        <w14:textFill>
          <w14:solidFill>
            <w14:schemeClr w14:val="accent4">
              <w14:lumMod w14:val="60000"/>
              <w14:lumOff w14:val="40000"/>
            </w14:schemeClr>
          </w14:solidFill>
        </w14:textFill>
      </w:rPr>
    </w:tblStylePr>
    <w:tblStylePr w:type="firstCol">
      <w:rPr>
        <w:b/>
        <w:color w:val="FFD966" w:themeColor="accent4" w:themeTint="99"/>
        <w14:textFill>
          <w14:solidFill>
            <w14:schemeClr w14:val="accent4">
              <w14:lumMod w14:val="60000"/>
              <w14:lumOff w14:val="40000"/>
            </w14:schemeClr>
          </w14:solidFill>
        </w14:textFill>
      </w:rPr>
    </w:tblStylePr>
    <w:tblStylePr w:type="lastCol">
      <w:rPr>
        <w:b/>
        <w:color w:val="FFD966" w:themeColor="accent4" w:themeTint="99"/>
        <w14:textFill>
          <w14:solidFill>
            <w14:schemeClr w14:val="accent4">
              <w14:lumMod w14:val="60000"/>
              <w14:lumOff w14:val="40000"/>
            </w14:schemeClr>
          </w14:solidFill>
        </w14:textFill>
      </w:rPr>
    </w:tblStylePr>
    <w:tblStylePr w:type="band1Vert">
      <w:tcPr>
        <w:shd w:val="clear" w:color="FEF2CA" w:fill="FEF2CA"/>
      </w:tcPr>
    </w:tblStylePr>
    <w:tblStylePr w:type="band2Vert"/>
    <w:tblStylePr w:type="band1Horz">
      <w:rPr>
        <w:rFonts w:ascii="Arial" w:hAnsi="Arial"/>
        <w:color w:val="FFD966" w:themeColor="accent4" w:themeTint="99"/>
        <w:sz w:val="22"/>
        <w14:textFill>
          <w14:solidFill>
            <w14:schemeClr w14:val="accent4">
              <w14:lumMod w14:val="60000"/>
              <w14:lumOff w14:val="40000"/>
            </w14:schemeClr>
          </w14:solidFill>
        </w14:textFill>
      </w:rPr>
      <w:tcPr>
        <w:shd w:val="clear" w:color="FEF2CA" w:fill="FEF2CA"/>
      </w:tcPr>
    </w:tblStylePr>
    <w:tblStylePr w:type="band2Horz">
      <w:rPr>
        <w:rFonts w:ascii="Arial" w:hAnsi="Arial"/>
        <w:color w:val="FFD966" w:themeColor="accent4" w:themeTint="99"/>
        <w:sz w:val="22"/>
        <w14:textFill>
          <w14:solidFill>
            <w14:schemeClr w14:val="accent4">
              <w14:lumMod w14:val="60000"/>
              <w14:lumOff w14:val="40000"/>
            </w14:schemeClr>
          </w14:solidFill>
        </w14:textFill>
      </w:rPr>
    </w:tblStylePr>
    <w:tblStylePr w:type="neCell"/>
    <w:tblStylePr w:type="nwCell"/>
    <w:tblStylePr w:type="seCell"/>
    <w:tblStylePr w:type="swCell"/>
  </w:style>
  <w:style w:type="table" w:customStyle="1" w:styleId="83">
    <w:name w:val="Grid Table 6 Colorful - Accent 5"/>
    <w:basedOn w:val="3"/>
    <w:qFormat/>
    <w:uiPriority w:val="99"/>
    <w:pPr>
      <w:spacing w:after="0" w:line="240" w:lineRule="auto"/>
    </w:pPr>
    <w:tblPr>
      <w:tblBorders>
        <w:top w:val="single" w:color="4472C4" w:themeColor="accent5" w:sz="4" w:space="0"/>
        <w:left w:val="single" w:color="4472C4" w:themeColor="accent5" w:sz="4" w:space="0"/>
        <w:bottom w:val="single" w:color="4472C4" w:themeColor="accent5" w:sz="4" w:space="0"/>
        <w:right w:val="single" w:color="4472C4" w:themeColor="accent5" w:sz="4" w:space="0"/>
        <w:insideH w:val="single" w:color="4472C4" w:themeColor="accent5" w:sz="4" w:space="0"/>
        <w:insideV w:val="single" w:color="4472C4" w:themeColor="accent5" w:sz="4" w:space="0"/>
      </w:tblBorders>
    </w:tblPr>
    <w:tblStylePr w:type="firstRow">
      <w:rPr>
        <w:b/>
        <w:color w:val="254174" w:themeColor="accent5" w:themeShade="94"/>
      </w:rPr>
      <w:tcPr>
        <w:tcBorders>
          <w:bottom w:val="single" w:color="4472C4" w:themeColor="accent5" w:sz="12" w:space="0"/>
        </w:tcBorders>
      </w:tcPr>
    </w:tblStylePr>
    <w:tblStylePr w:type="lastRow">
      <w:rPr>
        <w:b/>
        <w:color w:val="254174" w:themeColor="accent5" w:themeShade="94"/>
      </w:rPr>
    </w:tblStylePr>
    <w:tblStylePr w:type="firstCol">
      <w:rPr>
        <w:b/>
        <w:color w:val="254174" w:themeColor="accent5" w:themeShade="94"/>
      </w:rPr>
    </w:tblStylePr>
    <w:tblStylePr w:type="lastCol">
      <w:rPr>
        <w:b/>
        <w:color w:val="254174" w:themeColor="accent5" w:themeShade="94"/>
      </w:rPr>
    </w:tblStylePr>
    <w:tblStylePr w:type="band1Vert">
      <w:tcPr>
        <w:shd w:val="clear" w:color="D8E2F2" w:fill="D8E2F2"/>
      </w:tcPr>
    </w:tblStylePr>
    <w:tblStylePr w:type="band2Vert"/>
    <w:tblStylePr w:type="band1Horz">
      <w:rPr>
        <w:rFonts w:ascii="Arial" w:hAnsi="Arial"/>
        <w:color w:val="254174" w:themeColor="accent5" w:themeShade="94"/>
        <w:sz w:val="22"/>
      </w:rPr>
      <w:tcPr>
        <w:shd w:val="clear" w:color="D8E2F2" w:fill="D8E2F2"/>
      </w:tcPr>
    </w:tblStylePr>
    <w:tblStylePr w:type="band2Horz">
      <w:rPr>
        <w:rFonts w:ascii="Arial" w:hAnsi="Arial"/>
        <w:color w:val="254174" w:themeColor="accent5" w:themeShade="94"/>
        <w:sz w:val="22"/>
      </w:rPr>
    </w:tblStylePr>
    <w:tblStylePr w:type="neCell"/>
    <w:tblStylePr w:type="nwCell"/>
    <w:tblStylePr w:type="seCell"/>
    <w:tblStylePr w:type="swCell"/>
  </w:style>
  <w:style w:type="table" w:customStyle="1" w:styleId="84">
    <w:name w:val="Grid Table 6 Colorful - Accent 6"/>
    <w:basedOn w:val="3"/>
    <w:qFormat/>
    <w:uiPriority w:val="99"/>
    <w:pPr>
      <w:spacing w:after="0" w:line="240" w:lineRule="auto"/>
    </w:pPr>
    <w:tblPr>
      <w:tblBorders>
        <w:top w:val="single" w:color="70AD47" w:themeColor="accent6" w:sz="4" w:space="0"/>
        <w:left w:val="single" w:color="70AD47" w:themeColor="accent6" w:sz="4" w:space="0"/>
        <w:bottom w:val="single" w:color="70AD47" w:themeColor="accent6" w:sz="4" w:space="0"/>
        <w:right w:val="single" w:color="70AD47" w:themeColor="accent6" w:sz="4" w:space="0"/>
        <w:insideH w:val="single" w:color="70AD47" w:themeColor="accent6" w:sz="4" w:space="0"/>
        <w:insideV w:val="single" w:color="70AD47" w:themeColor="accent6" w:sz="4" w:space="0"/>
      </w:tblBorders>
    </w:tblPr>
    <w:tblStylePr w:type="firstRow">
      <w:rPr>
        <w:b/>
        <w:color w:val="254174" w:themeColor="accent5" w:themeShade="94"/>
      </w:rPr>
      <w:tcPr>
        <w:tcBorders>
          <w:bottom w:val="single" w:color="70AD47" w:themeColor="accent6" w:sz="12" w:space="0"/>
        </w:tcBorders>
      </w:tcPr>
    </w:tblStylePr>
    <w:tblStylePr w:type="lastRow">
      <w:rPr>
        <w:b/>
        <w:color w:val="254174" w:themeColor="accent5" w:themeShade="94"/>
      </w:rPr>
    </w:tblStylePr>
    <w:tblStylePr w:type="firstCol">
      <w:rPr>
        <w:b/>
        <w:color w:val="254174" w:themeColor="accent5" w:themeShade="94"/>
      </w:rPr>
    </w:tblStylePr>
    <w:tblStylePr w:type="lastCol">
      <w:rPr>
        <w:b/>
        <w:color w:val="254174" w:themeColor="accent5" w:themeShade="94"/>
      </w:rPr>
    </w:tblStylePr>
    <w:tblStylePr w:type="band1Vert">
      <w:tcPr>
        <w:shd w:val="clear" w:color="E1EFD8" w:fill="E1EFD8"/>
      </w:tcPr>
    </w:tblStylePr>
    <w:tblStylePr w:type="band2Vert"/>
    <w:tblStylePr w:type="band1Horz">
      <w:rPr>
        <w:rFonts w:ascii="Arial" w:hAnsi="Arial"/>
        <w:color w:val="254174" w:themeColor="accent5" w:themeShade="94"/>
        <w:sz w:val="22"/>
      </w:rPr>
      <w:tcPr>
        <w:shd w:val="clear" w:color="E1EFD8" w:fill="E1EFD8"/>
      </w:tcPr>
    </w:tblStylePr>
    <w:tblStylePr w:type="band2Horz">
      <w:rPr>
        <w:rFonts w:ascii="Arial" w:hAnsi="Arial"/>
        <w:color w:val="254174" w:themeColor="accent5" w:themeShade="94"/>
        <w:sz w:val="22"/>
      </w:rPr>
    </w:tblStylePr>
    <w:tblStylePr w:type="neCell"/>
    <w:tblStylePr w:type="nwCell"/>
    <w:tblStylePr w:type="seCell"/>
    <w:tblStylePr w:type="swCell"/>
  </w:style>
  <w:style w:type="table" w:customStyle="1" w:styleId="85">
    <w:name w:val="Grid Table 7 Colorful"/>
    <w:basedOn w:val="3"/>
    <w:qFormat/>
    <w:uiPriority w:val="99"/>
    <w:pPr>
      <w:spacing w:after="0" w:line="240" w:lineRule="auto"/>
    </w:pPr>
    <w:tblPr>
      <w:tblBorders>
        <w:bottom w:val="single" w:color="7E7E7E" w:themeColor="text1" w:themeTint="80" w:sz="4" w:space="0"/>
        <w:right w:val="single" w:color="7E7E7E" w:themeColor="text1" w:themeTint="80" w:sz="4" w:space="0"/>
        <w:insideH w:val="single" w:color="7E7E7E" w:themeColor="text1" w:themeTint="80" w:sz="4" w:space="0"/>
        <w:insideV w:val="single" w:color="7E7E7E" w:themeColor="text1" w:themeTint="80" w:sz="4" w:space="0"/>
      </w:tblBorders>
    </w:tblPr>
    <w:tblStylePr w:type="firstRow">
      <w:rPr>
        <w:rFonts w:ascii="Arial" w:hAnsi="Arial"/>
        <w:b/>
        <w:color w:val="808080" w:themeColor="text1" w:themeTint="80"/>
        <w:sz w:val="22"/>
        <w14:textFill>
          <w14:solidFill>
            <w14:schemeClr w14:val="tx1">
              <w14:lumMod w14:val="50000"/>
              <w14:lumOff w14:val="50000"/>
            </w14:schemeClr>
          </w14:solidFill>
        </w14:textFill>
      </w:rPr>
      <w:tcPr>
        <w:tcBorders>
          <w:top w:val="nil"/>
          <w:left w:val="nil"/>
          <w:bottom w:val="single" w:color="7E7E7E" w:themeColor="text1" w:themeTint="80" w:sz="4" w:space="0"/>
          <w:right w:val="nil"/>
        </w:tcBorders>
        <w:shd w:val="clear" w:color="FFFFFF" w:fill="FFFFFF"/>
      </w:tcPr>
    </w:tblStylePr>
    <w:tblStylePr w:type="lastRow">
      <w:rPr>
        <w:rFonts w:ascii="Arial" w:hAnsi="Arial"/>
        <w:b/>
        <w:color w:val="808080" w:themeColor="text1" w:themeTint="80"/>
        <w:sz w:val="22"/>
        <w14:textFill>
          <w14:solidFill>
            <w14:schemeClr w14:val="tx1">
              <w14:lumMod w14:val="50000"/>
              <w14:lumOff w14:val="50000"/>
            </w14:schemeClr>
          </w14:solidFill>
        </w14:textFill>
      </w:rPr>
      <w:tcPr>
        <w:tcBorders>
          <w:top w:val="single" w:color="7E7E7E" w:themeColor="text1" w:themeTint="80" w:sz="4" w:space="0"/>
          <w:left w:val="nil"/>
          <w:bottom w:val="nil"/>
          <w:right w:val="nil"/>
        </w:tcBorders>
        <w:shd w:val="clear" w:color="FFFFFF" w:fill="FFFFFF"/>
      </w:tcPr>
    </w:tblStylePr>
    <w:tblStylePr w:type="firstCol">
      <w:pPr>
        <w:jc w:val="right"/>
      </w:pPr>
      <w:rPr>
        <w:rFonts w:ascii="Arial" w:hAnsi="Arial"/>
        <w:i/>
        <w:color w:val="808080" w:themeColor="text1" w:themeTint="80"/>
        <w:sz w:val="22"/>
        <w14:textFill>
          <w14:solidFill>
            <w14:schemeClr w14:val="tx1">
              <w14:lumMod w14:val="50000"/>
              <w14:lumOff w14:val="50000"/>
            </w14:schemeClr>
          </w14:solidFill>
        </w14:textFill>
      </w:rPr>
      <w:tcPr>
        <w:tcBorders>
          <w:top w:val="nil"/>
          <w:left w:val="nil"/>
          <w:bottom w:val="nil"/>
          <w:right w:val="single" w:color="7E7E7E" w:themeColor="text1" w:themeTint="80" w:sz="4" w:space="0"/>
        </w:tcBorders>
        <w:shd w:val="clear" w:color="FFFFFF" w:fill="auto"/>
      </w:tcPr>
    </w:tblStylePr>
    <w:tblStylePr w:type="lastCol">
      <w:rPr>
        <w:rFonts w:ascii="Arial" w:hAnsi="Arial"/>
        <w:i/>
        <w:color w:val="808080" w:themeColor="text1" w:themeTint="80"/>
        <w:sz w:val="22"/>
        <w14:textFill>
          <w14:solidFill>
            <w14:schemeClr w14:val="tx1">
              <w14:lumMod w14:val="50000"/>
              <w14:lumOff w14:val="50000"/>
            </w14:schemeClr>
          </w14:solidFill>
        </w14:textFill>
      </w:rPr>
      <w:tcPr>
        <w:tcBorders>
          <w:top w:val="nil"/>
          <w:left w:val="single" w:color="7E7E7E" w:themeColor="text1" w:themeTint="80" w:sz="4" w:space="0"/>
          <w:bottom w:val="nil"/>
          <w:right w:val="nil"/>
        </w:tcBorders>
        <w:shd w:val="clear" w:color="FFFFFF" w:fill="auto"/>
      </w:tcPr>
    </w:tblStylePr>
    <w:tblStylePr w:type="band1Vert">
      <w:tcPr>
        <w:shd w:val="clear" w:color="F1F1F1" w:fill="F1F1F1"/>
      </w:tcPr>
    </w:tblStylePr>
    <w:tblStylePr w:type="band2Vert"/>
    <w:tblStylePr w:type="band1Horz">
      <w:rPr>
        <w:rFonts w:ascii="Arial" w:hAnsi="Arial"/>
        <w:color w:val="808080" w:themeColor="text1" w:themeTint="80"/>
        <w:sz w:val="22"/>
        <w14:textFill>
          <w14:solidFill>
            <w14:schemeClr w14:val="tx1">
              <w14:lumMod w14:val="50000"/>
              <w14:lumOff w14:val="50000"/>
            </w14:schemeClr>
          </w14:solidFill>
        </w14:textFill>
      </w:rPr>
      <w:tcPr>
        <w:shd w:val="clear" w:color="F1F1F1" w:fill="F1F1F1"/>
      </w:tcPr>
    </w:tblStylePr>
    <w:tblStylePr w:type="band2Horz">
      <w:rPr>
        <w:rFonts w:ascii="Arial" w:hAnsi="Arial"/>
        <w:color w:val="808080" w:themeColor="text1" w:themeTint="80"/>
        <w:sz w:val="22"/>
        <w14:textFill>
          <w14:solidFill>
            <w14:schemeClr w14:val="tx1">
              <w14:lumMod w14:val="50000"/>
              <w14:lumOff w14:val="50000"/>
            </w14:schemeClr>
          </w14:solidFill>
        </w14:textFill>
      </w:rPr>
    </w:tblStylePr>
    <w:tblStylePr w:type="neCell"/>
    <w:tblStylePr w:type="nwCell"/>
    <w:tblStylePr w:type="seCell"/>
    <w:tblStylePr w:type="swCell"/>
  </w:style>
  <w:style w:type="table" w:customStyle="1" w:styleId="86">
    <w:name w:val="Grid Table 7 Colorful - Accent 1"/>
    <w:basedOn w:val="3"/>
    <w:qFormat/>
    <w:uiPriority w:val="99"/>
    <w:pPr>
      <w:spacing w:after="0" w:line="240" w:lineRule="auto"/>
    </w:pPr>
    <w:tblPr>
      <w:tblBorders>
        <w:bottom w:val="single" w:color="ACCCE9" w:themeColor="accent1" w:themeTint="80" w:sz="4" w:space="0"/>
        <w:right w:val="single" w:color="ACCCE9" w:themeColor="accent1" w:themeTint="80" w:sz="4" w:space="0"/>
        <w:insideH w:val="single" w:color="ACCCE9" w:themeColor="accent1" w:themeTint="80" w:sz="4" w:space="0"/>
        <w:insideV w:val="single" w:color="ACCCE9" w:themeColor="accent1" w:themeTint="80" w:sz="4" w:space="0"/>
      </w:tblBorders>
    </w:tblPr>
    <w:tblStylePr w:type="firstRow">
      <w:rPr>
        <w:rFonts w:ascii="Arial" w:hAnsi="Arial"/>
        <w:b/>
        <w:color w:val="ADCDEA" w:themeColor="accent1" w:themeTint="80"/>
        <w:sz w:val="22"/>
        <w14:textFill>
          <w14:solidFill>
            <w14:schemeClr w14:val="accent1">
              <w14:lumMod w14:val="50000"/>
              <w14:lumOff w14:val="50000"/>
            </w14:schemeClr>
          </w14:solidFill>
        </w14:textFill>
      </w:rPr>
      <w:tcPr>
        <w:tcBorders>
          <w:top w:val="nil"/>
          <w:left w:val="nil"/>
          <w:bottom w:val="single" w:color="ACCCE9" w:themeColor="accent1" w:themeTint="80" w:sz="4" w:space="0"/>
          <w:right w:val="nil"/>
        </w:tcBorders>
        <w:shd w:val="clear" w:color="FFFFFF" w:fill="FFFFFF"/>
      </w:tcPr>
    </w:tblStylePr>
    <w:tblStylePr w:type="lastRow">
      <w:rPr>
        <w:rFonts w:ascii="Arial" w:hAnsi="Arial"/>
        <w:b/>
        <w:color w:val="ADCDEA" w:themeColor="accent1" w:themeTint="80"/>
        <w:sz w:val="22"/>
        <w14:textFill>
          <w14:solidFill>
            <w14:schemeClr w14:val="accent1">
              <w14:lumMod w14:val="50000"/>
              <w14:lumOff w14:val="50000"/>
            </w14:schemeClr>
          </w14:solidFill>
        </w14:textFill>
      </w:rPr>
      <w:tcPr>
        <w:tcBorders>
          <w:top w:val="single" w:color="ACCCE9" w:themeColor="accent1" w:themeTint="80" w:sz="4" w:space="0"/>
          <w:left w:val="nil"/>
          <w:bottom w:val="nil"/>
          <w:right w:val="nil"/>
        </w:tcBorders>
        <w:shd w:val="clear" w:color="FFFFFF" w:fill="FFFFFF"/>
      </w:tcPr>
    </w:tblStylePr>
    <w:tblStylePr w:type="firstCol">
      <w:pPr>
        <w:jc w:val="right"/>
      </w:pPr>
      <w:rPr>
        <w:rFonts w:ascii="Arial" w:hAnsi="Arial"/>
        <w:i/>
        <w:color w:val="ADCDEA" w:themeColor="accent1" w:themeTint="80"/>
        <w:sz w:val="22"/>
        <w14:textFill>
          <w14:solidFill>
            <w14:schemeClr w14:val="accent1">
              <w14:lumMod w14:val="50000"/>
              <w14:lumOff w14:val="50000"/>
            </w14:schemeClr>
          </w14:solidFill>
        </w14:textFill>
      </w:rPr>
      <w:tcPr>
        <w:tcBorders>
          <w:top w:val="nil"/>
          <w:left w:val="nil"/>
          <w:bottom w:val="nil"/>
          <w:right w:val="single" w:color="ACCCE9" w:themeColor="accent1" w:themeTint="80" w:sz="4" w:space="0"/>
        </w:tcBorders>
        <w:shd w:val="clear" w:color="FFFFFF" w:fill="auto"/>
      </w:tcPr>
    </w:tblStylePr>
    <w:tblStylePr w:type="lastCol">
      <w:rPr>
        <w:rFonts w:ascii="Arial" w:hAnsi="Arial"/>
        <w:i/>
        <w:color w:val="ADCDEA" w:themeColor="accent1" w:themeTint="80"/>
        <w:sz w:val="22"/>
        <w14:textFill>
          <w14:solidFill>
            <w14:schemeClr w14:val="accent1">
              <w14:lumMod w14:val="50000"/>
              <w14:lumOff w14:val="50000"/>
            </w14:schemeClr>
          </w14:solidFill>
        </w14:textFill>
      </w:rPr>
      <w:tcPr>
        <w:tcBorders>
          <w:top w:val="nil"/>
          <w:left w:val="single" w:color="ACCCE9" w:themeColor="accent1" w:themeTint="80" w:sz="4" w:space="0"/>
          <w:bottom w:val="nil"/>
          <w:right w:val="nil"/>
        </w:tcBorders>
        <w:shd w:val="clear" w:color="FFFFFF" w:fill="auto"/>
      </w:tcPr>
    </w:tblStylePr>
    <w:tblStylePr w:type="band1Vert">
      <w:tcPr>
        <w:shd w:val="clear" w:color="DDEAF6" w:fill="DDEAF6"/>
      </w:tcPr>
    </w:tblStylePr>
    <w:tblStylePr w:type="band2Vert"/>
    <w:tblStylePr w:type="band1Horz">
      <w:rPr>
        <w:rFonts w:ascii="Arial" w:hAnsi="Arial"/>
        <w:color w:val="ADCDEA" w:themeColor="accent1" w:themeTint="80"/>
        <w:sz w:val="22"/>
        <w14:textFill>
          <w14:solidFill>
            <w14:schemeClr w14:val="accent1">
              <w14:lumMod w14:val="50000"/>
              <w14:lumOff w14:val="50000"/>
            </w14:schemeClr>
          </w14:solidFill>
        </w14:textFill>
      </w:rPr>
      <w:tcPr>
        <w:shd w:val="clear" w:color="DDEAF6" w:fill="DDEAF6"/>
      </w:tcPr>
    </w:tblStylePr>
    <w:tblStylePr w:type="band2Horz">
      <w:rPr>
        <w:rFonts w:ascii="Arial" w:hAnsi="Arial"/>
        <w:color w:val="ADCDEA" w:themeColor="accent1" w:themeTint="80"/>
        <w:sz w:val="22"/>
        <w14:textFill>
          <w14:solidFill>
            <w14:schemeClr w14:val="accent1">
              <w14:lumMod w14:val="50000"/>
              <w14:lumOff w14:val="50000"/>
            </w14:schemeClr>
          </w14:solidFill>
        </w14:textFill>
      </w:rPr>
    </w:tblStylePr>
    <w:tblStylePr w:type="neCell"/>
    <w:tblStylePr w:type="nwCell"/>
    <w:tblStylePr w:type="seCell"/>
    <w:tblStylePr w:type="swCell"/>
  </w:style>
  <w:style w:type="table" w:customStyle="1" w:styleId="87">
    <w:name w:val="Grid Table 7 Colorful - Accent 2"/>
    <w:basedOn w:val="3"/>
    <w:qFormat/>
    <w:uiPriority w:val="99"/>
    <w:pPr>
      <w:spacing w:after="0" w:line="240" w:lineRule="auto"/>
    </w:pPr>
    <w:tblPr>
      <w:tblBorders>
        <w:bottom w:val="single" w:color="F4B285" w:themeColor="accent2" w:themeTint="97" w:sz="4" w:space="0"/>
        <w:right w:val="single" w:color="F4B285" w:themeColor="accent2" w:themeTint="97" w:sz="4" w:space="0"/>
        <w:insideH w:val="single" w:color="F4B285" w:themeColor="accent2" w:themeTint="97" w:sz="4" w:space="0"/>
        <w:insideV w:val="single" w:color="F4B285" w:themeColor="accent2" w:themeTint="97" w:sz="4" w:space="0"/>
      </w:tblBorders>
    </w:tblPr>
    <w:tblStylePr w:type="firstRow">
      <w:rPr>
        <w:rFonts w:ascii="Arial" w:hAnsi="Arial"/>
        <w:b/>
        <w:color w:val="F4B285" w:themeColor="accent2" w:themeTint="96"/>
        <w:sz w:val="22"/>
        <w14:textFill>
          <w14:solidFill>
            <w14:schemeClr w14:val="accent2">
              <w14:lumMod w14:val="59000"/>
              <w14:lumOff w14:val="41000"/>
            </w14:schemeClr>
          </w14:solidFill>
        </w14:textFill>
      </w:rPr>
      <w:tcPr>
        <w:tcBorders>
          <w:top w:val="nil"/>
          <w:left w:val="nil"/>
          <w:bottom w:val="single" w:color="F4B285" w:themeColor="accent2" w:themeTint="97" w:sz="4" w:space="0"/>
          <w:right w:val="nil"/>
        </w:tcBorders>
        <w:shd w:val="clear" w:color="FFFFFF" w:fill="FFFFFF"/>
      </w:tcPr>
    </w:tblStylePr>
    <w:tblStylePr w:type="lastRow">
      <w:rPr>
        <w:rFonts w:ascii="Arial" w:hAnsi="Arial"/>
        <w:b/>
        <w:color w:val="F4B285" w:themeColor="accent2" w:themeTint="96"/>
        <w:sz w:val="22"/>
        <w14:textFill>
          <w14:solidFill>
            <w14:schemeClr w14:val="accent2">
              <w14:lumMod w14:val="59000"/>
              <w14:lumOff w14:val="41000"/>
            </w14:schemeClr>
          </w14:solidFill>
        </w14:textFill>
      </w:rPr>
      <w:tcPr>
        <w:tcBorders>
          <w:top w:val="single" w:color="F4B285" w:themeColor="accent2" w:themeTint="97" w:sz="4" w:space="0"/>
          <w:left w:val="nil"/>
          <w:bottom w:val="nil"/>
          <w:right w:val="nil"/>
        </w:tcBorders>
        <w:shd w:val="clear" w:color="FFFFFF" w:fill="FFFFFF"/>
      </w:tcPr>
    </w:tblStylePr>
    <w:tblStylePr w:type="firstCol">
      <w:pPr>
        <w:jc w:val="right"/>
      </w:pPr>
      <w:rPr>
        <w:rFonts w:ascii="Arial" w:hAnsi="Arial"/>
        <w:i/>
        <w:color w:val="F4B285" w:themeColor="accent2" w:themeTint="96"/>
        <w:sz w:val="22"/>
        <w14:textFill>
          <w14:solidFill>
            <w14:schemeClr w14:val="accent2">
              <w14:lumMod w14:val="59000"/>
              <w14:lumOff w14:val="41000"/>
            </w14:schemeClr>
          </w14:solidFill>
        </w14:textFill>
      </w:rPr>
      <w:tcPr>
        <w:tcBorders>
          <w:top w:val="nil"/>
          <w:left w:val="nil"/>
          <w:bottom w:val="nil"/>
          <w:right w:val="single" w:color="F4B285" w:themeColor="accent2" w:themeTint="97" w:sz="4" w:space="0"/>
        </w:tcBorders>
        <w:shd w:val="clear" w:color="FFFFFF" w:fill="auto"/>
      </w:tcPr>
    </w:tblStylePr>
    <w:tblStylePr w:type="lastCol">
      <w:rPr>
        <w:rFonts w:ascii="Arial" w:hAnsi="Arial"/>
        <w:i/>
        <w:color w:val="F4B285" w:themeColor="accent2" w:themeTint="96"/>
        <w:sz w:val="22"/>
        <w14:textFill>
          <w14:solidFill>
            <w14:schemeClr w14:val="accent2">
              <w14:lumMod w14:val="59000"/>
              <w14:lumOff w14:val="41000"/>
            </w14:schemeClr>
          </w14:solidFill>
        </w14:textFill>
      </w:rPr>
      <w:tcPr>
        <w:tcBorders>
          <w:top w:val="nil"/>
          <w:left w:val="single" w:color="F4B285" w:themeColor="accent2" w:themeTint="97" w:sz="4" w:space="0"/>
          <w:bottom w:val="nil"/>
          <w:right w:val="nil"/>
        </w:tcBorders>
        <w:shd w:val="clear" w:color="FFFFFF" w:fill="auto"/>
      </w:tcPr>
    </w:tblStylePr>
    <w:tblStylePr w:type="band1Vert">
      <w:tcPr>
        <w:shd w:val="clear" w:color="FBE5D6" w:fill="FBE5D6"/>
      </w:tcPr>
    </w:tblStylePr>
    <w:tblStylePr w:type="band2Vert"/>
    <w:tblStylePr w:type="band1Horz">
      <w:rPr>
        <w:rFonts w:ascii="Arial" w:hAnsi="Arial"/>
        <w:color w:val="F4B285" w:themeColor="accent2" w:themeTint="96"/>
        <w:sz w:val="22"/>
        <w14:textFill>
          <w14:solidFill>
            <w14:schemeClr w14:val="accent2">
              <w14:lumMod w14:val="59000"/>
              <w14:lumOff w14:val="41000"/>
            </w14:schemeClr>
          </w14:solidFill>
        </w14:textFill>
      </w:rPr>
      <w:tcPr>
        <w:shd w:val="clear" w:color="FBE5D6" w:fill="FBE5D6"/>
      </w:tcPr>
    </w:tblStylePr>
    <w:tblStylePr w:type="band2Horz">
      <w:rPr>
        <w:rFonts w:ascii="Arial" w:hAnsi="Arial"/>
        <w:color w:val="F4B285" w:themeColor="accent2" w:themeTint="96"/>
        <w:sz w:val="22"/>
        <w14:textFill>
          <w14:solidFill>
            <w14:schemeClr w14:val="accent2">
              <w14:lumMod w14:val="59000"/>
              <w14:lumOff w14:val="41000"/>
            </w14:schemeClr>
          </w14:solidFill>
        </w14:textFill>
      </w:rPr>
    </w:tblStylePr>
    <w:tblStylePr w:type="neCell"/>
    <w:tblStylePr w:type="nwCell"/>
    <w:tblStylePr w:type="seCell"/>
    <w:tblStylePr w:type="swCell"/>
  </w:style>
  <w:style w:type="table" w:customStyle="1" w:styleId="88">
    <w:name w:val="Grid Table 7 Colorful - Accent 3"/>
    <w:basedOn w:val="3"/>
    <w:qFormat/>
    <w:uiPriority w:val="99"/>
    <w:pPr>
      <w:spacing w:after="0" w:line="240" w:lineRule="auto"/>
    </w:pPr>
    <w:tblPr>
      <w:tblBorders>
        <w:bottom w:val="single" w:color="A5A5A5" w:themeColor="accent3" w:themeTint="FE" w:sz="4" w:space="0"/>
        <w:right w:val="single" w:color="A5A5A5" w:themeColor="accent3" w:themeTint="FE" w:sz="4" w:space="0"/>
        <w:insideH w:val="single" w:color="A5A5A5" w:themeColor="accent3" w:themeTint="FE" w:sz="4" w:space="0"/>
        <w:insideV w:val="single" w:color="A5A5A5" w:themeColor="accent3" w:themeTint="FE" w:sz="4" w:space="0"/>
      </w:tblBorders>
    </w:tblPr>
    <w:tblStylePr w:type="firstRow">
      <w:rPr>
        <w:rFonts w:ascii="Arial" w:hAnsi="Arial"/>
        <w:b/>
        <w:color w:val="A5A5A5" w:themeColor="accent3" w:themeTint="FF"/>
        <w:sz w:val="22"/>
        <w14:textFill>
          <w14:solidFill>
            <w14:schemeClr w14:val="accent3">
              <w14:lumMod w14:val="100000"/>
              <w14:lumOff w14:val="0"/>
            </w14:schemeClr>
          </w14:solidFill>
        </w14:textFill>
      </w:rPr>
      <w:tcPr>
        <w:tcBorders>
          <w:top w:val="nil"/>
          <w:left w:val="nil"/>
          <w:bottom w:val="single" w:color="A5A5A5" w:themeColor="accent3" w:themeTint="FE" w:sz="4" w:space="0"/>
          <w:right w:val="nil"/>
        </w:tcBorders>
        <w:shd w:val="clear" w:color="FFFFFF" w:fill="FFFFFF"/>
      </w:tcPr>
    </w:tblStylePr>
    <w:tblStylePr w:type="lastRow">
      <w:rPr>
        <w:rFonts w:ascii="Arial" w:hAnsi="Arial"/>
        <w:b/>
        <w:color w:val="A5A5A5" w:themeColor="accent3" w:themeTint="FF"/>
        <w:sz w:val="22"/>
        <w14:textFill>
          <w14:solidFill>
            <w14:schemeClr w14:val="accent3">
              <w14:lumMod w14:val="100000"/>
              <w14:lumOff w14:val="0"/>
            </w14:schemeClr>
          </w14:solidFill>
        </w14:textFill>
      </w:rPr>
      <w:tcPr>
        <w:tcBorders>
          <w:top w:val="single" w:color="A5A5A5" w:themeColor="accent3" w:themeTint="FE" w:sz="4" w:space="0"/>
          <w:left w:val="nil"/>
          <w:bottom w:val="nil"/>
          <w:right w:val="nil"/>
        </w:tcBorders>
        <w:shd w:val="clear" w:color="FFFFFF" w:fill="FFFFFF"/>
      </w:tcPr>
    </w:tblStylePr>
    <w:tblStylePr w:type="firstCol">
      <w:pPr>
        <w:jc w:val="right"/>
      </w:pPr>
      <w:rPr>
        <w:rFonts w:ascii="Arial" w:hAnsi="Arial"/>
        <w:i/>
        <w:color w:val="A5A5A5" w:themeColor="accent3" w:themeTint="FF"/>
        <w:sz w:val="22"/>
        <w14:textFill>
          <w14:solidFill>
            <w14:schemeClr w14:val="accent3">
              <w14:lumMod w14:val="100000"/>
              <w14:lumOff w14:val="0"/>
            </w14:schemeClr>
          </w14:solidFill>
        </w14:textFill>
      </w:rPr>
      <w:tcPr>
        <w:tcBorders>
          <w:top w:val="nil"/>
          <w:left w:val="nil"/>
          <w:bottom w:val="nil"/>
          <w:right w:val="single" w:color="A5A5A5" w:themeColor="accent3" w:themeTint="FE" w:sz="4" w:space="0"/>
        </w:tcBorders>
        <w:shd w:val="clear" w:color="FFFFFF" w:fill="auto"/>
      </w:tcPr>
    </w:tblStylePr>
    <w:tblStylePr w:type="lastCol">
      <w:rPr>
        <w:rFonts w:ascii="Arial" w:hAnsi="Arial"/>
        <w:i/>
        <w:color w:val="A5A5A5" w:themeColor="accent3" w:themeTint="FF"/>
        <w:sz w:val="22"/>
        <w14:textFill>
          <w14:solidFill>
            <w14:schemeClr w14:val="accent3">
              <w14:lumMod w14:val="100000"/>
              <w14:lumOff w14:val="0"/>
            </w14:schemeClr>
          </w14:solidFill>
        </w14:textFill>
      </w:rPr>
      <w:tcPr>
        <w:tcBorders>
          <w:top w:val="nil"/>
          <w:left w:val="single" w:color="A5A5A5" w:themeColor="accent3" w:themeTint="FE" w:sz="4" w:space="0"/>
          <w:bottom w:val="nil"/>
          <w:right w:val="nil"/>
        </w:tcBorders>
        <w:shd w:val="clear" w:color="FFFFFF" w:fill="auto"/>
      </w:tcPr>
    </w:tblStylePr>
    <w:tblStylePr w:type="band1Vert">
      <w:tcPr>
        <w:shd w:val="clear" w:color="ECECEC" w:fill="ECECEC"/>
      </w:tcPr>
    </w:tblStylePr>
    <w:tblStylePr w:type="band2Vert"/>
    <w:tblStylePr w:type="band1Horz">
      <w:rPr>
        <w:rFonts w:ascii="Arial" w:hAnsi="Arial"/>
        <w:color w:val="A5A5A5" w:themeColor="accent3" w:themeTint="FF"/>
        <w:sz w:val="22"/>
        <w14:textFill>
          <w14:solidFill>
            <w14:schemeClr w14:val="accent3">
              <w14:lumMod w14:val="100000"/>
              <w14:lumOff w14:val="0"/>
            </w14:schemeClr>
          </w14:solidFill>
        </w14:textFill>
      </w:rPr>
      <w:tcPr>
        <w:shd w:val="clear" w:color="ECECEC" w:fill="ECECEC"/>
      </w:tcPr>
    </w:tblStylePr>
    <w:tblStylePr w:type="band2Horz">
      <w:rPr>
        <w:rFonts w:ascii="Arial" w:hAnsi="Arial"/>
        <w:color w:val="A5A5A5" w:themeColor="accent3" w:themeTint="FF"/>
        <w:sz w:val="22"/>
        <w14:textFill>
          <w14:solidFill>
            <w14:schemeClr w14:val="accent3">
              <w14:lumMod w14:val="100000"/>
              <w14:lumOff w14:val="0"/>
            </w14:schemeClr>
          </w14:solidFill>
        </w14:textFill>
      </w:rPr>
    </w:tblStylePr>
    <w:tblStylePr w:type="neCell"/>
    <w:tblStylePr w:type="nwCell"/>
    <w:tblStylePr w:type="seCell"/>
    <w:tblStylePr w:type="swCell"/>
  </w:style>
  <w:style w:type="table" w:customStyle="1" w:styleId="89">
    <w:name w:val="Grid Table 7 Colorful - Accent 4"/>
    <w:basedOn w:val="3"/>
    <w:qFormat/>
    <w:uiPriority w:val="99"/>
    <w:pPr>
      <w:spacing w:after="0" w:line="240" w:lineRule="auto"/>
    </w:pPr>
    <w:tblPr>
      <w:tblBorders>
        <w:bottom w:val="single" w:color="FFD864" w:themeColor="accent4" w:themeTint="9A" w:sz="4" w:space="0"/>
        <w:right w:val="single" w:color="FFD864" w:themeColor="accent4" w:themeTint="9A" w:sz="4" w:space="0"/>
        <w:insideH w:val="single" w:color="FFD864" w:themeColor="accent4" w:themeTint="9A" w:sz="4" w:space="0"/>
        <w:insideV w:val="single" w:color="FFD864" w:themeColor="accent4" w:themeTint="9A" w:sz="4" w:space="0"/>
      </w:tblBorders>
    </w:tblPr>
    <w:tblStylePr w:type="firstRow">
      <w:rPr>
        <w:rFonts w:ascii="Arial" w:hAnsi="Arial"/>
        <w:b/>
        <w:color w:val="FFD966" w:themeColor="accent4" w:themeTint="99"/>
        <w:sz w:val="22"/>
        <w14:textFill>
          <w14:solidFill>
            <w14:schemeClr w14:val="accent4">
              <w14:lumMod w14:val="60000"/>
              <w14:lumOff w14:val="40000"/>
            </w14:schemeClr>
          </w14:solidFill>
        </w14:textFill>
      </w:rPr>
      <w:tcPr>
        <w:tcBorders>
          <w:top w:val="nil"/>
          <w:left w:val="nil"/>
          <w:bottom w:val="single" w:color="FFD864" w:themeColor="accent4" w:themeTint="9A" w:sz="4" w:space="0"/>
          <w:right w:val="nil"/>
        </w:tcBorders>
        <w:shd w:val="clear" w:color="FFFFFF" w:fill="FFFFFF"/>
      </w:tcPr>
    </w:tblStylePr>
    <w:tblStylePr w:type="lastRow">
      <w:rPr>
        <w:rFonts w:ascii="Arial" w:hAnsi="Arial"/>
        <w:b/>
        <w:color w:val="FFD966" w:themeColor="accent4" w:themeTint="99"/>
        <w:sz w:val="22"/>
        <w14:textFill>
          <w14:solidFill>
            <w14:schemeClr w14:val="accent4">
              <w14:lumMod w14:val="60000"/>
              <w14:lumOff w14:val="40000"/>
            </w14:schemeClr>
          </w14:solidFill>
        </w14:textFill>
      </w:rPr>
      <w:tcPr>
        <w:tcBorders>
          <w:top w:val="single" w:color="FFD864" w:themeColor="accent4" w:themeTint="9A" w:sz="4" w:space="0"/>
          <w:left w:val="nil"/>
          <w:bottom w:val="nil"/>
          <w:right w:val="nil"/>
        </w:tcBorders>
        <w:shd w:val="clear" w:color="FFFFFF" w:fill="FFFFFF"/>
      </w:tcPr>
    </w:tblStylePr>
    <w:tblStylePr w:type="firstCol">
      <w:pPr>
        <w:jc w:val="right"/>
      </w:pPr>
      <w:rPr>
        <w:rFonts w:ascii="Arial" w:hAnsi="Arial"/>
        <w:i/>
        <w:color w:val="FFD966" w:themeColor="accent4" w:themeTint="99"/>
        <w:sz w:val="22"/>
        <w14:textFill>
          <w14:solidFill>
            <w14:schemeClr w14:val="accent4">
              <w14:lumMod w14:val="60000"/>
              <w14:lumOff w14:val="40000"/>
            </w14:schemeClr>
          </w14:solidFill>
        </w14:textFill>
      </w:rPr>
      <w:tcPr>
        <w:tcBorders>
          <w:top w:val="nil"/>
          <w:left w:val="nil"/>
          <w:bottom w:val="nil"/>
          <w:right w:val="single" w:color="FFD864" w:themeColor="accent4" w:themeTint="9A" w:sz="4" w:space="0"/>
        </w:tcBorders>
        <w:shd w:val="clear" w:color="FFFFFF" w:fill="auto"/>
      </w:tcPr>
    </w:tblStylePr>
    <w:tblStylePr w:type="lastCol">
      <w:rPr>
        <w:rFonts w:ascii="Arial" w:hAnsi="Arial"/>
        <w:i/>
        <w:color w:val="FFD966" w:themeColor="accent4" w:themeTint="99"/>
        <w:sz w:val="22"/>
        <w14:textFill>
          <w14:solidFill>
            <w14:schemeClr w14:val="accent4">
              <w14:lumMod w14:val="60000"/>
              <w14:lumOff w14:val="40000"/>
            </w14:schemeClr>
          </w14:solidFill>
        </w14:textFill>
      </w:rPr>
      <w:tcPr>
        <w:tcBorders>
          <w:top w:val="nil"/>
          <w:left w:val="single" w:color="FFD864" w:themeColor="accent4" w:themeTint="9A" w:sz="4" w:space="0"/>
          <w:bottom w:val="nil"/>
          <w:right w:val="nil"/>
        </w:tcBorders>
        <w:shd w:val="clear" w:color="FFFFFF" w:fill="auto"/>
      </w:tcPr>
    </w:tblStylePr>
    <w:tblStylePr w:type="band1Vert">
      <w:tcPr>
        <w:shd w:val="clear" w:color="FEF2CA" w:fill="FEF2CA"/>
      </w:tcPr>
    </w:tblStylePr>
    <w:tblStylePr w:type="band2Vert"/>
    <w:tblStylePr w:type="band1Horz">
      <w:rPr>
        <w:rFonts w:ascii="Arial" w:hAnsi="Arial"/>
        <w:color w:val="FFD966" w:themeColor="accent4" w:themeTint="99"/>
        <w:sz w:val="22"/>
        <w14:textFill>
          <w14:solidFill>
            <w14:schemeClr w14:val="accent4">
              <w14:lumMod w14:val="60000"/>
              <w14:lumOff w14:val="40000"/>
            </w14:schemeClr>
          </w14:solidFill>
        </w14:textFill>
      </w:rPr>
      <w:tcPr>
        <w:shd w:val="clear" w:color="FEF2CA" w:fill="FEF2CA"/>
      </w:tcPr>
    </w:tblStylePr>
    <w:tblStylePr w:type="band2Horz">
      <w:rPr>
        <w:rFonts w:ascii="Arial" w:hAnsi="Arial"/>
        <w:color w:val="FFD966" w:themeColor="accent4" w:themeTint="99"/>
        <w:sz w:val="22"/>
        <w14:textFill>
          <w14:solidFill>
            <w14:schemeClr w14:val="accent4">
              <w14:lumMod w14:val="60000"/>
              <w14:lumOff w14:val="40000"/>
            </w14:schemeClr>
          </w14:solidFill>
        </w14:textFill>
      </w:rPr>
    </w:tblStylePr>
    <w:tblStylePr w:type="neCell"/>
    <w:tblStylePr w:type="nwCell"/>
    <w:tblStylePr w:type="seCell"/>
    <w:tblStylePr w:type="swCell"/>
  </w:style>
  <w:style w:type="table" w:customStyle="1" w:styleId="90">
    <w:name w:val="Grid Table 7 Colorful - Accent 5"/>
    <w:basedOn w:val="3"/>
    <w:qFormat/>
    <w:uiPriority w:val="99"/>
    <w:pPr>
      <w:spacing w:after="0" w:line="240" w:lineRule="auto"/>
    </w:pPr>
    <w:tblPr>
      <w:tblBorders>
        <w:bottom w:val="single" w:color="95AFDD" w:themeColor="accent5" w:themeTint="90" w:sz="4" w:space="0"/>
        <w:right w:val="single" w:color="95AFDD" w:themeColor="accent5" w:themeTint="90" w:sz="4" w:space="0"/>
        <w:insideH w:val="single" w:color="95AFDD" w:themeColor="accent5" w:themeTint="90" w:sz="4" w:space="0"/>
        <w:insideV w:val="single" w:color="95AFDD" w:themeColor="accent5" w:themeTint="90" w:sz="4" w:space="0"/>
      </w:tblBorders>
    </w:tblPr>
    <w:tblStylePr w:type="firstRow">
      <w:rPr>
        <w:rFonts w:ascii="Arial" w:hAnsi="Arial"/>
        <w:b/>
        <w:color w:val="254174" w:themeColor="accent5" w:themeShade="94"/>
        <w:sz w:val="22"/>
      </w:rPr>
      <w:tcPr>
        <w:tcBorders>
          <w:top w:val="nil"/>
          <w:left w:val="nil"/>
          <w:bottom w:val="single" w:color="95AFDD" w:themeColor="accent5" w:themeTint="90" w:sz="4" w:space="0"/>
          <w:right w:val="nil"/>
        </w:tcBorders>
        <w:shd w:val="clear" w:color="FFFFFF" w:fill="FFFFFF"/>
      </w:tcPr>
    </w:tblStylePr>
    <w:tblStylePr w:type="lastRow">
      <w:rPr>
        <w:rFonts w:ascii="Arial" w:hAnsi="Arial"/>
        <w:b/>
        <w:color w:val="254174" w:themeColor="accent5" w:themeShade="94"/>
        <w:sz w:val="22"/>
      </w:rPr>
      <w:tcPr>
        <w:tcBorders>
          <w:top w:val="single" w:color="95AFDD" w:themeColor="accent5" w:themeTint="90" w:sz="4" w:space="0"/>
          <w:left w:val="nil"/>
          <w:bottom w:val="nil"/>
          <w:right w:val="nil"/>
        </w:tcBorders>
        <w:shd w:val="clear" w:color="FFFFFF" w:fill="FFFFFF"/>
      </w:tcPr>
    </w:tblStylePr>
    <w:tblStylePr w:type="firstCol">
      <w:pPr>
        <w:jc w:val="right"/>
      </w:pPr>
      <w:rPr>
        <w:rFonts w:ascii="Arial" w:hAnsi="Arial"/>
        <w:i/>
        <w:color w:val="254174" w:themeColor="accent5" w:themeShade="94"/>
        <w:sz w:val="22"/>
      </w:rPr>
      <w:tcPr>
        <w:tcBorders>
          <w:top w:val="nil"/>
          <w:left w:val="nil"/>
          <w:bottom w:val="nil"/>
          <w:right w:val="single" w:color="95AFDD" w:themeColor="accent5" w:themeTint="90" w:sz="4" w:space="0"/>
        </w:tcBorders>
        <w:shd w:val="clear" w:color="FFFFFF" w:fill="auto"/>
      </w:tcPr>
    </w:tblStylePr>
    <w:tblStylePr w:type="lastCol">
      <w:rPr>
        <w:rFonts w:ascii="Arial" w:hAnsi="Arial"/>
        <w:i/>
        <w:color w:val="254174" w:themeColor="accent5" w:themeShade="94"/>
        <w:sz w:val="22"/>
      </w:rPr>
      <w:tcPr>
        <w:tcBorders>
          <w:top w:val="nil"/>
          <w:left w:val="single" w:color="95AFDD" w:themeColor="accent5" w:themeTint="90" w:sz="4" w:space="0"/>
          <w:bottom w:val="nil"/>
          <w:right w:val="nil"/>
        </w:tcBorders>
        <w:shd w:val="clear" w:color="FFFFFF" w:fill="auto"/>
      </w:tcPr>
    </w:tblStylePr>
    <w:tblStylePr w:type="band1Vert">
      <w:tcPr>
        <w:shd w:val="clear" w:color="D8E2F2" w:fill="D8E2F2"/>
      </w:tcPr>
    </w:tblStylePr>
    <w:tblStylePr w:type="band2Vert"/>
    <w:tblStylePr w:type="band1Horz">
      <w:rPr>
        <w:rFonts w:ascii="Arial" w:hAnsi="Arial"/>
        <w:color w:val="254174" w:themeColor="accent5" w:themeShade="94"/>
        <w:sz w:val="22"/>
      </w:rPr>
      <w:tcPr>
        <w:shd w:val="clear" w:color="D8E2F2" w:fill="D8E2F2"/>
      </w:tcPr>
    </w:tblStylePr>
    <w:tblStylePr w:type="band2Horz">
      <w:rPr>
        <w:rFonts w:ascii="Arial" w:hAnsi="Arial"/>
        <w:color w:val="254174" w:themeColor="accent5" w:themeShade="94"/>
        <w:sz w:val="22"/>
      </w:rPr>
    </w:tblStylePr>
    <w:tblStylePr w:type="neCell"/>
    <w:tblStylePr w:type="nwCell"/>
    <w:tblStylePr w:type="seCell"/>
    <w:tblStylePr w:type="swCell"/>
  </w:style>
  <w:style w:type="table" w:customStyle="1" w:styleId="91">
    <w:name w:val="Grid Table 7 Colorful - Accent 6"/>
    <w:basedOn w:val="3"/>
    <w:qFormat/>
    <w:uiPriority w:val="99"/>
    <w:pPr>
      <w:spacing w:after="0" w:line="240" w:lineRule="auto"/>
    </w:pPr>
    <w:tblPr>
      <w:tblBorders>
        <w:bottom w:val="single" w:color="ADD394" w:themeColor="accent6" w:themeTint="90" w:sz="4" w:space="0"/>
        <w:right w:val="single" w:color="ADD394" w:themeColor="accent6" w:themeTint="90" w:sz="4" w:space="0"/>
        <w:insideH w:val="single" w:color="ADD394" w:themeColor="accent6" w:themeTint="90" w:sz="4" w:space="0"/>
        <w:insideV w:val="single" w:color="ADD394" w:themeColor="accent6" w:themeTint="90" w:sz="4" w:space="0"/>
      </w:tblBorders>
    </w:tblPr>
    <w:tblStylePr w:type="firstRow">
      <w:rPr>
        <w:rFonts w:ascii="Arial" w:hAnsi="Arial"/>
        <w:b/>
        <w:color w:val="416429" w:themeColor="accent6" w:themeShade="94"/>
        <w:sz w:val="22"/>
      </w:rPr>
      <w:tcPr>
        <w:tcBorders>
          <w:top w:val="nil"/>
          <w:left w:val="nil"/>
          <w:bottom w:val="single" w:color="ADD394" w:themeColor="accent6" w:themeTint="90" w:sz="4" w:space="0"/>
          <w:right w:val="nil"/>
        </w:tcBorders>
        <w:shd w:val="clear" w:color="FFFFFF" w:fill="FFFFFF"/>
      </w:tcPr>
    </w:tblStylePr>
    <w:tblStylePr w:type="lastRow">
      <w:rPr>
        <w:rFonts w:ascii="Arial" w:hAnsi="Arial"/>
        <w:b/>
        <w:color w:val="416429" w:themeColor="accent6" w:themeShade="94"/>
        <w:sz w:val="22"/>
      </w:rPr>
      <w:tcPr>
        <w:tcBorders>
          <w:top w:val="single" w:color="ADD394" w:themeColor="accent6" w:themeTint="90" w:sz="4" w:space="0"/>
          <w:left w:val="nil"/>
          <w:bottom w:val="nil"/>
          <w:right w:val="nil"/>
        </w:tcBorders>
        <w:shd w:val="clear" w:color="FFFFFF" w:fill="FFFFFF"/>
      </w:tcPr>
    </w:tblStylePr>
    <w:tblStylePr w:type="firstCol">
      <w:pPr>
        <w:jc w:val="right"/>
      </w:pPr>
      <w:rPr>
        <w:rFonts w:ascii="Arial" w:hAnsi="Arial"/>
        <w:i/>
        <w:color w:val="416429" w:themeColor="accent6" w:themeShade="94"/>
        <w:sz w:val="22"/>
      </w:rPr>
      <w:tcPr>
        <w:tcBorders>
          <w:top w:val="nil"/>
          <w:left w:val="nil"/>
          <w:bottom w:val="nil"/>
          <w:right w:val="single" w:color="ADD394" w:themeColor="accent6" w:themeTint="90" w:sz="4" w:space="0"/>
        </w:tcBorders>
        <w:shd w:val="clear" w:color="FFFFFF" w:fill="auto"/>
      </w:tcPr>
    </w:tblStylePr>
    <w:tblStylePr w:type="lastCol">
      <w:rPr>
        <w:rFonts w:ascii="Arial" w:hAnsi="Arial"/>
        <w:i/>
        <w:color w:val="416429" w:themeColor="accent6" w:themeShade="94"/>
        <w:sz w:val="22"/>
      </w:rPr>
      <w:tcPr>
        <w:tcBorders>
          <w:top w:val="nil"/>
          <w:left w:val="single" w:color="ADD394" w:themeColor="accent6" w:themeTint="90" w:sz="4" w:space="0"/>
          <w:bottom w:val="nil"/>
          <w:right w:val="nil"/>
        </w:tcBorders>
        <w:shd w:val="clear" w:color="FFFFFF" w:fill="auto"/>
      </w:tcPr>
    </w:tblStylePr>
    <w:tblStylePr w:type="band1Vert">
      <w:tcPr>
        <w:shd w:val="clear" w:color="E1EFD8" w:fill="E1EFD8"/>
      </w:tcPr>
    </w:tblStylePr>
    <w:tblStylePr w:type="band2Vert"/>
    <w:tblStylePr w:type="band1Horz">
      <w:rPr>
        <w:rFonts w:ascii="Arial" w:hAnsi="Arial"/>
        <w:color w:val="416429" w:themeColor="accent6" w:themeShade="94"/>
        <w:sz w:val="22"/>
      </w:rPr>
      <w:tcPr>
        <w:shd w:val="clear" w:color="E1EFD8" w:fill="E1EFD8"/>
      </w:tcPr>
    </w:tblStylePr>
    <w:tblStylePr w:type="band2Horz">
      <w:rPr>
        <w:rFonts w:ascii="Arial" w:hAnsi="Arial"/>
        <w:color w:val="416429" w:themeColor="accent6" w:themeShade="94"/>
        <w:sz w:val="22"/>
      </w:rPr>
    </w:tblStylePr>
    <w:tblStylePr w:type="neCell"/>
    <w:tblStylePr w:type="nwCell"/>
    <w:tblStylePr w:type="seCell"/>
    <w:tblStylePr w:type="swCell"/>
  </w:style>
  <w:style w:type="table" w:customStyle="1" w:styleId="92">
    <w:name w:val="List Table 1 Light"/>
    <w:basedOn w:val="3"/>
    <w:qFormat/>
    <w:uiPriority w:val="99"/>
    <w:pPr>
      <w:spacing w:after="0" w:line="240" w:lineRule="auto"/>
    </w:pPr>
    <w:tblStylePr w:type="firstRow">
      <w:rPr>
        <w:b/>
        <w:color w:val="404040"/>
      </w:rPr>
      <w:tcPr>
        <w:tcBorders>
          <w:top w:val="nil"/>
          <w:left w:val="nil"/>
          <w:bottom w:val="single" w:color="000000" w:themeColor="text1" w:sz="4" w:space="0"/>
          <w:right w:val="nil"/>
        </w:tcBorders>
      </w:tcPr>
    </w:tblStylePr>
    <w:tblStylePr w:type="lastRow">
      <w:rPr>
        <w:b/>
        <w:color w:val="404040"/>
      </w:rPr>
      <w:tcPr>
        <w:tcBorders>
          <w:top w:val="single" w:color="000000" w:themeColor="text1" w:sz="4" w:space="0"/>
          <w:left w:val="nil"/>
          <w:bottom w:val="nil"/>
          <w:right w:val="nil"/>
        </w:tcBorders>
      </w:tcPr>
    </w:tblStylePr>
    <w:tblStylePr w:type="firstCol">
      <w:rPr>
        <w:b/>
        <w:color w:val="404040"/>
      </w:rPr>
    </w:tblStylePr>
    <w:tblStylePr w:type="lastCol">
      <w:rPr>
        <w:b/>
        <w:color w:val="404040"/>
      </w:rPr>
    </w:tblStylePr>
    <w:tblStylePr w:type="band1Vert">
      <w:tcPr>
        <w:shd w:val="clear" w:color="BEBEBE" w:fill="BEBEBE"/>
      </w:tcPr>
    </w:tblStylePr>
    <w:tblStylePr w:type="band2Vert"/>
    <w:tblStylePr w:type="band1Horz">
      <w:tcPr>
        <w:shd w:val="clear" w:color="BEBEBE" w:fill="BEBEBE"/>
      </w:tcPr>
    </w:tblStylePr>
    <w:tblStylePr w:type="band2Horz"/>
    <w:tblStylePr w:type="neCell"/>
    <w:tblStylePr w:type="nwCell"/>
    <w:tblStylePr w:type="seCell"/>
    <w:tblStylePr w:type="swCell"/>
  </w:style>
  <w:style w:type="table" w:customStyle="1" w:styleId="93">
    <w:name w:val="List Table 1 Light - Accent 1"/>
    <w:basedOn w:val="3"/>
    <w:qFormat/>
    <w:uiPriority w:val="99"/>
    <w:pPr>
      <w:spacing w:after="0" w:line="240" w:lineRule="auto"/>
    </w:pPr>
    <w:tblStylePr w:type="firstRow">
      <w:rPr>
        <w:b/>
        <w:color w:val="404040"/>
      </w:rPr>
      <w:tcPr>
        <w:tcBorders>
          <w:top w:val="nil"/>
          <w:left w:val="nil"/>
          <w:bottom w:val="single" w:color="5B9BD5" w:themeColor="accent1" w:sz="4" w:space="0"/>
          <w:right w:val="nil"/>
        </w:tcBorders>
      </w:tcPr>
    </w:tblStylePr>
    <w:tblStylePr w:type="lastRow">
      <w:rPr>
        <w:b/>
        <w:color w:val="404040"/>
      </w:rPr>
      <w:tcPr>
        <w:tcBorders>
          <w:top w:val="single" w:color="5B9BD5" w:themeColor="accent1" w:sz="4" w:space="0"/>
          <w:left w:val="nil"/>
          <w:bottom w:val="nil"/>
          <w:right w:val="nil"/>
        </w:tcBorders>
      </w:tcPr>
    </w:tblStylePr>
    <w:tblStylePr w:type="firstCol">
      <w:rPr>
        <w:b/>
        <w:color w:val="404040"/>
      </w:rPr>
    </w:tblStylePr>
    <w:tblStylePr w:type="lastCol">
      <w:rPr>
        <w:b/>
        <w:color w:val="404040"/>
      </w:rPr>
    </w:tblStylePr>
    <w:tblStylePr w:type="band1Vert">
      <w:tcPr>
        <w:shd w:val="clear" w:color="D5E5F4" w:fill="D5E5F4"/>
      </w:tcPr>
    </w:tblStylePr>
    <w:tblStylePr w:type="band2Vert"/>
    <w:tblStylePr w:type="band1Horz">
      <w:tcPr>
        <w:shd w:val="clear" w:color="D5E5F4" w:fill="D5E5F4"/>
      </w:tcPr>
    </w:tblStylePr>
    <w:tblStylePr w:type="band2Horz"/>
    <w:tblStylePr w:type="neCell"/>
    <w:tblStylePr w:type="nwCell"/>
    <w:tblStylePr w:type="seCell"/>
    <w:tblStylePr w:type="swCell"/>
  </w:style>
  <w:style w:type="table" w:customStyle="1" w:styleId="94">
    <w:name w:val="List Table 1 Light - Accent 2"/>
    <w:basedOn w:val="3"/>
    <w:qFormat/>
    <w:uiPriority w:val="99"/>
    <w:pPr>
      <w:spacing w:after="0" w:line="240" w:lineRule="auto"/>
    </w:pPr>
    <w:tblStylePr w:type="firstRow">
      <w:rPr>
        <w:b/>
        <w:color w:val="404040"/>
      </w:rPr>
      <w:tcPr>
        <w:tcBorders>
          <w:top w:val="nil"/>
          <w:left w:val="nil"/>
          <w:bottom w:val="single" w:color="ED7D31" w:themeColor="accent2" w:sz="4" w:space="0"/>
          <w:right w:val="nil"/>
        </w:tcBorders>
      </w:tcPr>
    </w:tblStylePr>
    <w:tblStylePr w:type="lastRow">
      <w:rPr>
        <w:b/>
        <w:color w:val="404040"/>
      </w:rPr>
      <w:tcPr>
        <w:tcBorders>
          <w:top w:val="single" w:color="ED7D31" w:themeColor="accent2" w:sz="4" w:space="0"/>
          <w:left w:val="nil"/>
          <w:bottom w:val="nil"/>
          <w:right w:val="nil"/>
        </w:tcBorders>
      </w:tcPr>
    </w:tblStylePr>
    <w:tblStylePr w:type="firstCol">
      <w:rPr>
        <w:b/>
        <w:color w:val="404040"/>
      </w:rPr>
    </w:tblStylePr>
    <w:tblStylePr w:type="lastCol">
      <w:rPr>
        <w:b/>
        <w:color w:val="404040"/>
      </w:rPr>
    </w:tblStylePr>
    <w:tblStylePr w:type="band1Vert">
      <w:tcPr>
        <w:shd w:val="clear" w:color="FADECB" w:fill="FADECB"/>
      </w:tcPr>
    </w:tblStylePr>
    <w:tblStylePr w:type="band2Vert"/>
    <w:tblStylePr w:type="band1Horz">
      <w:tcPr>
        <w:shd w:val="clear" w:color="FADECB" w:fill="FADECB"/>
      </w:tcPr>
    </w:tblStylePr>
    <w:tblStylePr w:type="band2Horz"/>
    <w:tblStylePr w:type="neCell"/>
    <w:tblStylePr w:type="nwCell"/>
    <w:tblStylePr w:type="seCell"/>
    <w:tblStylePr w:type="swCell"/>
  </w:style>
  <w:style w:type="table" w:customStyle="1" w:styleId="95">
    <w:name w:val="List Table 1 Light - Accent 3"/>
    <w:basedOn w:val="3"/>
    <w:qFormat/>
    <w:uiPriority w:val="99"/>
    <w:pPr>
      <w:spacing w:after="0" w:line="240" w:lineRule="auto"/>
    </w:pPr>
    <w:tblStylePr w:type="firstRow">
      <w:rPr>
        <w:b/>
        <w:color w:val="404040"/>
      </w:rPr>
      <w:tcPr>
        <w:tcBorders>
          <w:top w:val="nil"/>
          <w:left w:val="nil"/>
          <w:bottom w:val="single" w:color="A5A5A5" w:themeColor="accent3" w:sz="4" w:space="0"/>
          <w:right w:val="nil"/>
        </w:tcBorders>
      </w:tcPr>
    </w:tblStylePr>
    <w:tblStylePr w:type="lastRow">
      <w:rPr>
        <w:b/>
        <w:color w:val="404040"/>
      </w:rPr>
      <w:tcPr>
        <w:tcBorders>
          <w:top w:val="single" w:color="A5A5A5" w:themeColor="accent3" w:sz="4" w:space="0"/>
          <w:left w:val="nil"/>
          <w:bottom w:val="nil"/>
          <w:right w:val="nil"/>
        </w:tcBorders>
      </w:tcPr>
    </w:tblStylePr>
    <w:tblStylePr w:type="firstCol">
      <w:rPr>
        <w:b/>
        <w:color w:val="404040"/>
      </w:rPr>
    </w:tblStylePr>
    <w:tblStylePr w:type="lastCol">
      <w:rPr>
        <w:b/>
        <w:color w:val="404040"/>
      </w:rPr>
    </w:tblStylePr>
    <w:tblStylePr w:type="band1Vert">
      <w:tcPr>
        <w:shd w:val="clear" w:color="E8E8E8" w:fill="E8E8E8"/>
      </w:tcPr>
    </w:tblStylePr>
    <w:tblStylePr w:type="band2Vert"/>
    <w:tblStylePr w:type="band1Horz">
      <w:tcPr>
        <w:shd w:val="clear" w:color="E8E8E8" w:fill="E8E8E8"/>
      </w:tcPr>
    </w:tblStylePr>
    <w:tblStylePr w:type="band2Horz"/>
    <w:tblStylePr w:type="neCell"/>
    <w:tblStylePr w:type="nwCell"/>
    <w:tblStylePr w:type="seCell"/>
    <w:tblStylePr w:type="swCell"/>
  </w:style>
  <w:style w:type="table" w:customStyle="1" w:styleId="96">
    <w:name w:val="List Table 1 Light - Accent 4"/>
    <w:basedOn w:val="3"/>
    <w:qFormat/>
    <w:uiPriority w:val="99"/>
    <w:pPr>
      <w:spacing w:after="0" w:line="240" w:lineRule="auto"/>
    </w:pPr>
    <w:tblStylePr w:type="firstRow">
      <w:rPr>
        <w:b/>
        <w:color w:val="404040"/>
      </w:rPr>
      <w:tcPr>
        <w:tcBorders>
          <w:top w:val="nil"/>
          <w:left w:val="nil"/>
          <w:bottom w:val="single" w:color="FFC000" w:themeColor="accent4" w:sz="4" w:space="0"/>
          <w:right w:val="nil"/>
        </w:tcBorders>
      </w:tcPr>
    </w:tblStylePr>
    <w:tblStylePr w:type="lastRow">
      <w:rPr>
        <w:b/>
        <w:color w:val="404040"/>
      </w:rPr>
      <w:tcPr>
        <w:tcBorders>
          <w:top w:val="single" w:color="FFC000" w:themeColor="accent4" w:sz="4" w:space="0"/>
          <w:left w:val="nil"/>
          <w:bottom w:val="nil"/>
          <w:right w:val="nil"/>
        </w:tcBorders>
      </w:tcPr>
    </w:tblStylePr>
    <w:tblStylePr w:type="firstCol">
      <w:rPr>
        <w:b/>
        <w:color w:val="404040"/>
      </w:rPr>
    </w:tblStylePr>
    <w:tblStylePr w:type="lastCol">
      <w:rPr>
        <w:b/>
        <w:color w:val="404040"/>
      </w:rPr>
    </w:tblStylePr>
    <w:tblStylePr w:type="band1Vert">
      <w:tcPr>
        <w:shd w:val="clear" w:color="FFEFBE" w:fill="FFEFBE"/>
      </w:tcPr>
    </w:tblStylePr>
    <w:tblStylePr w:type="band2Vert"/>
    <w:tblStylePr w:type="band1Horz">
      <w:tcPr>
        <w:shd w:val="clear" w:color="FFEFBE" w:fill="FFEFBE"/>
      </w:tcPr>
    </w:tblStylePr>
    <w:tblStylePr w:type="band2Horz"/>
    <w:tblStylePr w:type="neCell"/>
    <w:tblStylePr w:type="nwCell"/>
    <w:tblStylePr w:type="seCell"/>
    <w:tblStylePr w:type="swCell"/>
  </w:style>
  <w:style w:type="table" w:customStyle="1" w:styleId="97">
    <w:name w:val="List Table 1 Light - Accent 5"/>
    <w:basedOn w:val="3"/>
    <w:qFormat/>
    <w:uiPriority w:val="99"/>
    <w:pPr>
      <w:spacing w:after="0" w:line="240" w:lineRule="auto"/>
    </w:pPr>
    <w:tblStylePr w:type="firstRow">
      <w:rPr>
        <w:b/>
        <w:color w:val="404040"/>
      </w:rPr>
      <w:tcPr>
        <w:tcBorders>
          <w:top w:val="nil"/>
          <w:left w:val="nil"/>
          <w:bottom w:val="single" w:color="4472C4" w:themeColor="accent5" w:sz="4" w:space="0"/>
          <w:right w:val="nil"/>
        </w:tcBorders>
      </w:tcPr>
    </w:tblStylePr>
    <w:tblStylePr w:type="lastRow">
      <w:rPr>
        <w:b/>
        <w:color w:val="404040"/>
      </w:rPr>
      <w:tcPr>
        <w:tcBorders>
          <w:top w:val="single" w:color="4472C4" w:themeColor="accent5" w:sz="4" w:space="0"/>
          <w:left w:val="nil"/>
          <w:bottom w:val="nil"/>
          <w:right w:val="nil"/>
        </w:tcBorders>
      </w:tcPr>
    </w:tblStylePr>
    <w:tblStylePr w:type="firstCol">
      <w:rPr>
        <w:b/>
        <w:color w:val="404040"/>
      </w:rPr>
    </w:tblStylePr>
    <w:tblStylePr w:type="lastCol">
      <w:rPr>
        <w:b/>
        <w:color w:val="404040"/>
      </w:rPr>
    </w:tblStylePr>
    <w:tblStylePr w:type="band1Vert">
      <w:tcPr>
        <w:shd w:val="clear" w:color="D0DBF0" w:fill="D0DBF0"/>
      </w:tcPr>
    </w:tblStylePr>
    <w:tblStylePr w:type="band2Vert"/>
    <w:tblStylePr w:type="band1Horz">
      <w:tcPr>
        <w:shd w:val="clear" w:color="D0DBF0" w:fill="D0DBF0"/>
      </w:tcPr>
    </w:tblStylePr>
    <w:tblStylePr w:type="band2Horz"/>
    <w:tblStylePr w:type="neCell"/>
    <w:tblStylePr w:type="nwCell"/>
    <w:tblStylePr w:type="seCell"/>
    <w:tblStylePr w:type="swCell"/>
  </w:style>
  <w:style w:type="table" w:customStyle="1" w:styleId="98">
    <w:name w:val="List Table 1 Light - Accent 6"/>
    <w:basedOn w:val="3"/>
    <w:qFormat/>
    <w:uiPriority w:val="99"/>
    <w:pPr>
      <w:spacing w:after="0" w:line="240" w:lineRule="auto"/>
    </w:pPr>
    <w:tblStylePr w:type="firstRow">
      <w:rPr>
        <w:b/>
        <w:color w:val="404040"/>
      </w:rPr>
      <w:tcPr>
        <w:tcBorders>
          <w:top w:val="nil"/>
          <w:left w:val="nil"/>
          <w:bottom w:val="single" w:color="70AD47" w:themeColor="accent6" w:sz="4" w:space="0"/>
          <w:right w:val="nil"/>
        </w:tcBorders>
      </w:tcPr>
    </w:tblStylePr>
    <w:tblStylePr w:type="lastRow">
      <w:rPr>
        <w:b/>
        <w:color w:val="404040"/>
      </w:rPr>
      <w:tcPr>
        <w:tcBorders>
          <w:top w:val="single" w:color="70AD47" w:themeColor="accent6" w:sz="4" w:space="0"/>
          <w:left w:val="nil"/>
          <w:bottom w:val="nil"/>
          <w:right w:val="nil"/>
        </w:tcBorders>
      </w:tcPr>
    </w:tblStylePr>
    <w:tblStylePr w:type="firstCol">
      <w:rPr>
        <w:b/>
        <w:color w:val="404040"/>
      </w:rPr>
    </w:tblStylePr>
    <w:tblStylePr w:type="lastCol">
      <w:rPr>
        <w:b/>
        <w:color w:val="404040"/>
      </w:rPr>
    </w:tblStylePr>
    <w:tblStylePr w:type="band1Vert">
      <w:tcPr>
        <w:shd w:val="clear" w:color="DAEBCF" w:fill="DAEBCF"/>
      </w:tcPr>
    </w:tblStylePr>
    <w:tblStylePr w:type="band2Vert"/>
    <w:tblStylePr w:type="band1Horz">
      <w:tcPr>
        <w:shd w:val="clear" w:color="DAEBCF" w:fill="DAEBCF"/>
      </w:tcPr>
    </w:tblStylePr>
    <w:tblStylePr w:type="band2Horz"/>
    <w:tblStylePr w:type="neCell"/>
    <w:tblStylePr w:type="nwCell"/>
    <w:tblStylePr w:type="seCell"/>
    <w:tblStylePr w:type="swCell"/>
  </w:style>
  <w:style w:type="table" w:customStyle="1" w:styleId="99">
    <w:name w:val="List Table 2"/>
    <w:basedOn w:val="3"/>
    <w:qFormat/>
    <w:uiPriority w:val="99"/>
    <w:pPr>
      <w:spacing w:after="0" w:line="240" w:lineRule="auto"/>
    </w:pPr>
    <w:tblPr>
      <w:tblBorders>
        <w:top w:val="single" w:color="6E6E6E" w:themeColor="text1" w:themeTint="90" w:sz="4" w:space="0"/>
        <w:bottom w:val="single" w:color="6E6E6E" w:themeColor="text1" w:themeTint="90" w:sz="4" w:space="0"/>
        <w:insideH w:val="single" w:color="6E6E6E" w:themeColor="text1" w:themeTint="90" w:sz="4" w:space="0"/>
      </w:tblBorders>
    </w:tblPr>
    <w:tblStylePr w:type="firstRow">
      <w:rPr>
        <w:rFonts w:ascii="Arial" w:hAnsi="Arial"/>
        <w:b/>
        <w:color w:val="404040"/>
        <w:sz w:val="22"/>
      </w:rPr>
      <w:tcPr>
        <w:tcBorders>
          <w:top w:val="single" w:color="6E6E6E" w:themeColor="text1" w:themeTint="90" w:sz="4" w:space="0"/>
          <w:left w:val="nil"/>
          <w:bottom w:val="single" w:color="6E6E6E" w:themeColor="text1" w:themeTint="90" w:sz="4" w:space="0"/>
          <w:right w:val="nil"/>
        </w:tcBorders>
      </w:tcPr>
    </w:tblStylePr>
    <w:tblStylePr w:type="lastRow">
      <w:rPr>
        <w:rFonts w:ascii="Arial" w:hAnsi="Arial"/>
        <w:b/>
        <w:color w:val="404040"/>
        <w:sz w:val="22"/>
      </w:rPr>
      <w:tcPr>
        <w:tcBorders>
          <w:top w:val="single" w:color="6E6E6E" w:themeColor="text1" w:themeTint="90" w:sz="4" w:space="0"/>
          <w:left w:val="nil"/>
          <w:bottom w:val="single" w:color="6E6E6E" w:themeColor="text1"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BEBEBE" w:fill="BEBEBE"/>
      </w:tcPr>
    </w:tblStylePr>
    <w:tblStylePr w:type="band2Vert"/>
    <w:tblStylePr w:type="band1Horz">
      <w:rPr>
        <w:rFonts w:ascii="Arial" w:hAnsi="Arial"/>
        <w:color w:val="404040"/>
        <w:sz w:val="22"/>
      </w:rPr>
      <w:tcPr>
        <w:shd w:val="clear" w:color="BEBEBE" w:fill="BEBEBE"/>
      </w:tcPr>
    </w:tblStylePr>
    <w:tblStylePr w:type="band2Horz"/>
    <w:tblStylePr w:type="neCell"/>
    <w:tblStylePr w:type="nwCell"/>
    <w:tblStylePr w:type="seCell"/>
    <w:tblStylePr w:type="swCell"/>
  </w:style>
  <w:style w:type="table" w:customStyle="1" w:styleId="100">
    <w:name w:val="List Table 2 - Accent 1"/>
    <w:basedOn w:val="3"/>
    <w:qFormat/>
    <w:uiPriority w:val="99"/>
    <w:pPr>
      <w:spacing w:after="0" w:line="240" w:lineRule="auto"/>
    </w:pPr>
    <w:tblPr>
      <w:tblBorders>
        <w:top w:val="single" w:color="A2C6E7" w:themeColor="accent1" w:themeTint="90" w:sz="4" w:space="0"/>
        <w:bottom w:val="single" w:color="A2C6E7" w:themeColor="accent1" w:themeTint="90" w:sz="4" w:space="0"/>
        <w:insideH w:val="single" w:color="A2C6E7" w:themeColor="accent1" w:themeTint="90" w:sz="4" w:space="0"/>
      </w:tblBorders>
    </w:tblPr>
    <w:tblStylePr w:type="firstRow">
      <w:rPr>
        <w:rFonts w:ascii="Arial" w:hAnsi="Arial"/>
        <w:b/>
        <w:color w:val="404040"/>
        <w:sz w:val="22"/>
      </w:rPr>
      <w:tcPr>
        <w:tcBorders>
          <w:top w:val="single" w:color="A2C6E7" w:themeColor="accent1" w:themeTint="90" w:sz="4" w:space="0"/>
          <w:left w:val="nil"/>
          <w:bottom w:val="single" w:color="A2C6E7" w:themeColor="accent1" w:themeTint="90" w:sz="4" w:space="0"/>
          <w:right w:val="nil"/>
        </w:tcBorders>
      </w:tcPr>
    </w:tblStylePr>
    <w:tblStylePr w:type="lastRow">
      <w:rPr>
        <w:rFonts w:ascii="Arial" w:hAnsi="Arial"/>
        <w:b/>
        <w:color w:val="404040"/>
        <w:sz w:val="22"/>
      </w:rPr>
      <w:tcPr>
        <w:tcBorders>
          <w:top w:val="single" w:color="A2C6E7" w:themeColor="accent1" w:themeTint="90" w:sz="4" w:space="0"/>
          <w:left w:val="nil"/>
          <w:bottom w:val="single" w:color="A2C6E7" w:themeColor="accent1"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D5E5F4" w:fill="D5E5F4"/>
      </w:tcPr>
    </w:tblStylePr>
    <w:tblStylePr w:type="band2Vert"/>
    <w:tblStylePr w:type="band1Horz">
      <w:rPr>
        <w:rFonts w:ascii="Arial" w:hAnsi="Arial"/>
        <w:color w:val="404040"/>
        <w:sz w:val="22"/>
      </w:rPr>
      <w:tcPr>
        <w:shd w:val="clear" w:color="D5E5F4" w:fill="D5E5F4"/>
      </w:tcPr>
    </w:tblStylePr>
    <w:tblStylePr w:type="band2Horz"/>
    <w:tblStylePr w:type="neCell"/>
    <w:tblStylePr w:type="nwCell"/>
    <w:tblStylePr w:type="seCell"/>
    <w:tblStylePr w:type="swCell"/>
  </w:style>
  <w:style w:type="table" w:customStyle="1" w:styleId="101">
    <w:name w:val="List Table 2 - Accent 2"/>
    <w:basedOn w:val="3"/>
    <w:qFormat/>
    <w:uiPriority w:val="99"/>
    <w:pPr>
      <w:spacing w:after="0" w:line="240" w:lineRule="auto"/>
    </w:pPr>
    <w:tblPr>
      <w:tblBorders>
        <w:top w:val="single" w:color="F4B58A" w:themeColor="accent2" w:themeTint="90" w:sz="4" w:space="0"/>
        <w:bottom w:val="single" w:color="F4B58A" w:themeColor="accent2" w:themeTint="90" w:sz="4" w:space="0"/>
        <w:insideH w:val="single" w:color="F4B58A" w:themeColor="accent2" w:themeTint="90" w:sz="4" w:space="0"/>
      </w:tblBorders>
    </w:tblPr>
    <w:tblStylePr w:type="firstRow">
      <w:rPr>
        <w:rFonts w:ascii="Arial" w:hAnsi="Arial"/>
        <w:b/>
        <w:color w:val="404040"/>
        <w:sz w:val="22"/>
      </w:rPr>
      <w:tcPr>
        <w:tcBorders>
          <w:top w:val="single" w:color="F4B58A" w:themeColor="accent2" w:themeTint="90" w:sz="4" w:space="0"/>
          <w:left w:val="nil"/>
          <w:bottom w:val="single" w:color="F4B58A" w:themeColor="accent2" w:themeTint="90" w:sz="4" w:space="0"/>
          <w:right w:val="nil"/>
        </w:tcBorders>
      </w:tcPr>
    </w:tblStylePr>
    <w:tblStylePr w:type="lastRow">
      <w:rPr>
        <w:rFonts w:ascii="Arial" w:hAnsi="Arial"/>
        <w:b/>
        <w:color w:val="404040"/>
        <w:sz w:val="22"/>
      </w:rPr>
      <w:tcPr>
        <w:tcBorders>
          <w:top w:val="single" w:color="F4B58A" w:themeColor="accent2" w:themeTint="90" w:sz="4" w:space="0"/>
          <w:left w:val="nil"/>
          <w:bottom w:val="single" w:color="F4B58A" w:themeColor="accent2"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FADECB" w:fill="FADECB"/>
      </w:tcPr>
    </w:tblStylePr>
    <w:tblStylePr w:type="band2Vert"/>
    <w:tblStylePr w:type="band1Horz">
      <w:rPr>
        <w:rFonts w:ascii="Arial" w:hAnsi="Arial"/>
        <w:color w:val="404040"/>
        <w:sz w:val="22"/>
      </w:rPr>
      <w:tcPr>
        <w:shd w:val="clear" w:color="FADECB" w:fill="FADECB"/>
      </w:tcPr>
    </w:tblStylePr>
    <w:tblStylePr w:type="band2Horz"/>
    <w:tblStylePr w:type="neCell"/>
    <w:tblStylePr w:type="nwCell"/>
    <w:tblStylePr w:type="seCell"/>
    <w:tblStylePr w:type="swCell"/>
  </w:style>
  <w:style w:type="table" w:customStyle="1" w:styleId="102">
    <w:name w:val="List Table 2 - Accent 3"/>
    <w:basedOn w:val="3"/>
    <w:qFormat/>
    <w:uiPriority w:val="99"/>
    <w:pPr>
      <w:spacing w:after="0" w:line="240" w:lineRule="auto"/>
    </w:pPr>
    <w:tblPr>
      <w:tblBorders>
        <w:top w:val="single" w:color="CCCCCC" w:themeColor="accent3" w:themeTint="90" w:sz="4" w:space="0"/>
        <w:bottom w:val="single" w:color="CCCCCC" w:themeColor="accent3" w:themeTint="90" w:sz="4" w:space="0"/>
        <w:insideH w:val="single" w:color="CCCCCC" w:themeColor="accent3" w:themeTint="90" w:sz="4" w:space="0"/>
      </w:tblBorders>
    </w:tblPr>
    <w:tblStylePr w:type="firstRow">
      <w:rPr>
        <w:rFonts w:ascii="Arial" w:hAnsi="Arial"/>
        <w:b/>
        <w:color w:val="404040"/>
        <w:sz w:val="22"/>
      </w:rPr>
      <w:tcPr>
        <w:tcBorders>
          <w:top w:val="single" w:color="CCCCCC" w:themeColor="accent3" w:themeTint="90" w:sz="4" w:space="0"/>
          <w:left w:val="nil"/>
          <w:bottom w:val="single" w:color="CCCCCC" w:themeColor="accent3" w:themeTint="90" w:sz="4" w:space="0"/>
          <w:right w:val="nil"/>
        </w:tcBorders>
      </w:tcPr>
    </w:tblStylePr>
    <w:tblStylePr w:type="lastRow">
      <w:rPr>
        <w:rFonts w:ascii="Arial" w:hAnsi="Arial"/>
        <w:b/>
        <w:color w:val="404040"/>
        <w:sz w:val="22"/>
      </w:rPr>
      <w:tcPr>
        <w:tcBorders>
          <w:top w:val="single" w:color="CCCCCC" w:themeColor="accent3" w:themeTint="90" w:sz="4" w:space="0"/>
          <w:left w:val="nil"/>
          <w:bottom w:val="single" w:color="CCCCCC" w:themeColor="accent3"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E8E8E8" w:fill="E8E8E8"/>
      </w:tcPr>
    </w:tblStylePr>
    <w:tblStylePr w:type="band2Vert"/>
    <w:tblStylePr w:type="band1Horz">
      <w:rPr>
        <w:rFonts w:ascii="Arial" w:hAnsi="Arial"/>
        <w:color w:val="404040"/>
        <w:sz w:val="22"/>
      </w:rPr>
      <w:tcPr>
        <w:shd w:val="clear" w:color="E8E8E8" w:fill="E8E8E8"/>
      </w:tcPr>
    </w:tblStylePr>
    <w:tblStylePr w:type="band2Horz"/>
    <w:tblStylePr w:type="neCell"/>
    <w:tblStylePr w:type="nwCell"/>
    <w:tblStylePr w:type="seCell"/>
    <w:tblStylePr w:type="swCell"/>
  </w:style>
  <w:style w:type="table" w:customStyle="1" w:styleId="103">
    <w:name w:val="List Table 2 - Accent 4"/>
    <w:basedOn w:val="3"/>
    <w:qFormat/>
    <w:uiPriority w:val="99"/>
    <w:pPr>
      <w:spacing w:after="0" w:line="240" w:lineRule="auto"/>
    </w:pPr>
    <w:tblPr>
      <w:tblBorders>
        <w:top w:val="single" w:color="FFDB6E" w:themeColor="accent4" w:themeTint="90" w:sz="4" w:space="0"/>
        <w:bottom w:val="single" w:color="FFDB6E" w:themeColor="accent4" w:themeTint="90" w:sz="4" w:space="0"/>
        <w:insideH w:val="single" w:color="FFDB6E" w:themeColor="accent4" w:themeTint="90" w:sz="4" w:space="0"/>
      </w:tblBorders>
    </w:tblPr>
    <w:tblStylePr w:type="firstRow">
      <w:rPr>
        <w:rFonts w:ascii="Arial" w:hAnsi="Arial"/>
        <w:b/>
        <w:color w:val="404040"/>
        <w:sz w:val="22"/>
      </w:rPr>
      <w:tcPr>
        <w:tcBorders>
          <w:top w:val="single" w:color="FFDB6E" w:themeColor="accent4" w:themeTint="90" w:sz="4" w:space="0"/>
          <w:left w:val="nil"/>
          <w:bottom w:val="single" w:color="FFDB6E" w:themeColor="accent4" w:themeTint="90" w:sz="4" w:space="0"/>
          <w:right w:val="nil"/>
        </w:tcBorders>
      </w:tcPr>
    </w:tblStylePr>
    <w:tblStylePr w:type="lastRow">
      <w:rPr>
        <w:rFonts w:ascii="Arial" w:hAnsi="Arial"/>
        <w:b/>
        <w:color w:val="404040"/>
        <w:sz w:val="22"/>
      </w:rPr>
      <w:tcPr>
        <w:tcBorders>
          <w:top w:val="single" w:color="FFDB6E" w:themeColor="accent4" w:themeTint="90" w:sz="4" w:space="0"/>
          <w:left w:val="nil"/>
          <w:bottom w:val="single" w:color="FFDB6E" w:themeColor="accent4"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FFEFBE" w:fill="FFEFBE"/>
      </w:tcPr>
    </w:tblStylePr>
    <w:tblStylePr w:type="band2Vert"/>
    <w:tblStylePr w:type="band1Horz">
      <w:rPr>
        <w:rFonts w:ascii="Arial" w:hAnsi="Arial"/>
        <w:color w:val="404040"/>
        <w:sz w:val="22"/>
      </w:rPr>
      <w:tcPr>
        <w:shd w:val="clear" w:color="FFEFBE" w:fill="FFEFBE"/>
      </w:tcPr>
    </w:tblStylePr>
    <w:tblStylePr w:type="band2Horz"/>
    <w:tblStylePr w:type="neCell"/>
    <w:tblStylePr w:type="nwCell"/>
    <w:tblStylePr w:type="seCell"/>
    <w:tblStylePr w:type="swCell"/>
  </w:style>
  <w:style w:type="table" w:customStyle="1" w:styleId="104">
    <w:name w:val="List Table 2 - Accent 5"/>
    <w:basedOn w:val="3"/>
    <w:qFormat/>
    <w:uiPriority w:val="99"/>
    <w:pPr>
      <w:spacing w:after="0" w:line="240" w:lineRule="auto"/>
    </w:pPr>
    <w:tblPr>
      <w:tblBorders>
        <w:top w:val="single" w:color="95AFDD" w:themeColor="accent5" w:themeTint="90" w:sz="4" w:space="0"/>
        <w:bottom w:val="single" w:color="95AFDD" w:themeColor="accent5" w:themeTint="90" w:sz="4" w:space="0"/>
        <w:insideH w:val="single" w:color="95AFDD" w:themeColor="accent5" w:themeTint="90" w:sz="4" w:space="0"/>
      </w:tblBorders>
    </w:tblPr>
    <w:tblStylePr w:type="firstRow">
      <w:rPr>
        <w:rFonts w:ascii="Arial" w:hAnsi="Arial"/>
        <w:b/>
        <w:color w:val="404040"/>
        <w:sz w:val="22"/>
      </w:rPr>
      <w:tcPr>
        <w:tcBorders>
          <w:top w:val="single" w:color="95AFDD" w:themeColor="accent5" w:themeTint="90" w:sz="4" w:space="0"/>
          <w:left w:val="nil"/>
          <w:bottom w:val="single" w:color="95AFDD" w:themeColor="accent5" w:themeTint="90" w:sz="4" w:space="0"/>
          <w:right w:val="nil"/>
        </w:tcBorders>
      </w:tcPr>
    </w:tblStylePr>
    <w:tblStylePr w:type="lastRow">
      <w:rPr>
        <w:rFonts w:ascii="Arial" w:hAnsi="Arial"/>
        <w:b/>
        <w:color w:val="404040"/>
        <w:sz w:val="22"/>
      </w:rPr>
      <w:tcPr>
        <w:tcBorders>
          <w:top w:val="single" w:color="95AFDD" w:themeColor="accent5" w:themeTint="90" w:sz="4" w:space="0"/>
          <w:left w:val="nil"/>
          <w:bottom w:val="single" w:color="95AFDD" w:themeColor="accent5"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D0DBF0" w:fill="D0DBF0"/>
      </w:tcPr>
    </w:tblStylePr>
    <w:tblStylePr w:type="band2Vert"/>
    <w:tblStylePr w:type="band1Horz">
      <w:rPr>
        <w:rFonts w:ascii="Arial" w:hAnsi="Arial"/>
        <w:color w:val="404040"/>
        <w:sz w:val="22"/>
      </w:rPr>
      <w:tcPr>
        <w:shd w:val="clear" w:color="D0DBF0" w:fill="D0DBF0"/>
      </w:tcPr>
    </w:tblStylePr>
    <w:tblStylePr w:type="band2Horz"/>
    <w:tblStylePr w:type="neCell"/>
    <w:tblStylePr w:type="nwCell"/>
    <w:tblStylePr w:type="seCell"/>
    <w:tblStylePr w:type="swCell"/>
  </w:style>
  <w:style w:type="table" w:customStyle="1" w:styleId="105">
    <w:name w:val="List Table 2 - Accent 6"/>
    <w:basedOn w:val="3"/>
    <w:qFormat/>
    <w:uiPriority w:val="99"/>
    <w:pPr>
      <w:spacing w:after="0" w:line="240" w:lineRule="auto"/>
    </w:pPr>
    <w:tblPr>
      <w:tblBorders>
        <w:top w:val="single" w:color="ADD394" w:themeColor="accent6" w:themeTint="90" w:sz="4" w:space="0"/>
        <w:bottom w:val="single" w:color="ADD394" w:themeColor="accent6" w:themeTint="90" w:sz="4" w:space="0"/>
        <w:insideH w:val="single" w:color="ADD394" w:themeColor="accent6" w:themeTint="90" w:sz="4" w:space="0"/>
      </w:tblBorders>
    </w:tblPr>
    <w:tblStylePr w:type="firstRow">
      <w:rPr>
        <w:rFonts w:ascii="Arial" w:hAnsi="Arial"/>
        <w:b/>
        <w:color w:val="404040"/>
        <w:sz w:val="22"/>
      </w:rPr>
      <w:tcPr>
        <w:tcBorders>
          <w:top w:val="single" w:color="ADD394" w:themeColor="accent6" w:themeTint="90" w:sz="4" w:space="0"/>
          <w:left w:val="nil"/>
          <w:bottom w:val="single" w:color="ADD394" w:themeColor="accent6" w:themeTint="90" w:sz="4" w:space="0"/>
          <w:right w:val="nil"/>
        </w:tcBorders>
      </w:tcPr>
    </w:tblStylePr>
    <w:tblStylePr w:type="lastRow">
      <w:rPr>
        <w:rFonts w:ascii="Arial" w:hAnsi="Arial"/>
        <w:b/>
        <w:color w:val="404040"/>
        <w:sz w:val="22"/>
      </w:rPr>
      <w:tcPr>
        <w:tcBorders>
          <w:top w:val="single" w:color="ADD394" w:themeColor="accent6" w:themeTint="90" w:sz="4" w:space="0"/>
          <w:left w:val="nil"/>
          <w:bottom w:val="single" w:color="ADD394" w:themeColor="accent6"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DAEBCF" w:fill="DAEBCF"/>
      </w:tcPr>
    </w:tblStylePr>
    <w:tblStylePr w:type="band2Vert"/>
    <w:tblStylePr w:type="band1Horz">
      <w:rPr>
        <w:rFonts w:ascii="Arial" w:hAnsi="Arial"/>
        <w:color w:val="404040"/>
        <w:sz w:val="22"/>
      </w:rPr>
      <w:tcPr>
        <w:shd w:val="clear" w:color="DAEBCF" w:fill="DAEBCF"/>
      </w:tcPr>
    </w:tblStylePr>
    <w:tblStylePr w:type="band2Horz"/>
    <w:tblStylePr w:type="neCell"/>
    <w:tblStylePr w:type="nwCell"/>
    <w:tblStylePr w:type="seCell"/>
    <w:tblStylePr w:type="swCell"/>
  </w:style>
  <w:style w:type="table" w:customStyle="1" w:styleId="106">
    <w:name w:val="List Table 3"/>
    <w:basedOn w:val="3"/>
    <w:qFormat/>
    <w:uiPriority w:val="9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firstRow">
      <w:rPr>
        <w:rFonts w:ascii="Arial" w:hAnsi="Arial"/>
        <w:b/>
        <w:color w:val="FFFFFF"/>
        <w:sz w:val="22"/>
      </w:r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band2Vert"/>
    <w:tblStylePr w:type="band1Horz">
      <w:rPr>
        <w:rFonts w:ascii="Arial" w:hAnsi="Arial"/>
        <w:color w:val="404040"/>
        <w:sz w:val="22"/>
      </w:rPr>
      <w:tcPr>
        <w:tcBorders>
          <w:top w:val="single" w:color="000000" w:themeColor="text1" w:sz="4" w:space="0"/>
          <w:bottom w:val="single" w:color="000000" w:themeColor="text1" w:sz="4" w:space="0"/>
        </w:tcBorders>
      </w:tcPr>
    </w:tblStylePr>
    <w:tblStylePr w:type="band2Horz"/>
    <w:tblStylePr w:type="neCell"/>
    <w:tblStylePr w:type="nwCell"/>
    <w:tblStylePr w:type="seCell"/>
    <w:tblStylePr w:type="swCell"/>
  </w:style>
  <w:style w:type="table" w:customStyle="1" w:styleId="107">
    <w:name w:val="List Table 3 - Accent 1"/>
    <w:basedOn w:val="3"/>
    <w:qFormat/>
    <w:uiPriority w:val="99"/>
    <w:pPr>
      <w:spacing w:after="0" w:line="240" w:lineRule="auto"/>
    </w:pPr>
    <w:tblPr>
      <w:tblBorders>
        <w:top w:val="single" w:color="5B9BD5" w:themeColor="accent1" w:sz="4" w:space="0"/>
        <w:left w:val="single" w:color="5B9BD5" w:themeColor="accent1" w:sz="4" w:space="0"/>
        <w:bottom w:val="single" w:color="5B9BD5" w:themeColor="accent1" w:sz="4" w:space="0"/>
        <w:right w:val="single" w:color="5B9BD5" w:themeColor="accent1" w:sz="4" w:space="0"/>
      </w:tblBorders>
    </w:tblPr>
    <w:tblStylePr w:type="firstRow">
      <w:rPr>
        <w:rFonts w:ascii="Arial" w:hAnsi="Arial"/>
        <w:b/>
        <w:color w:val="FFFFFF"/>
        <w:sz w:val="22"/>
      </w:rPr>
      <w:tcPr>
        <w:shd w:val="clear" w:color="5B9BD5" w:fill="5B9BD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5B9BD5" w:themeColor="accent1" w:sz="4" w:space="0"/>
          <w:right w:val="single" w:color="5B9BD5" w:themeColor="accent1" w:sz="4" w:space="0"/>
        </w:tcBorders>
      </w:tcPr>
    </w:tblStylePr>
    <w:tblStylePr w:type="band2Vert"/>
    <w:tblStylePr w:type="band1Horz">
      <w:rPr>
        <w:rFonts w:ascii="Arial" w:hAnsi="Arial"/>
        <w:color w:val="404040"/>
        <w:sz w:val="22"/>
      </w:rPr>
      <w:tcPr>
        <w:tcBorders>
          <w:top w:val="single" w:color="5B9BD5" w:themeColor="accent1" w:sz="4" w:space="0"/>
          <w:bottom w:val="single" w:color="5B9BD5" w:themeColor="accent1" w:sz="4" w:space="0"/>
        </w:tcBorders>
      </w:tcPr>
    </w:tblStylePr>
    <w:tblStylePr w:type="band2Horz"/>
    <w:tblStylePr w:type="neCell"/>
    <w:tblStylePr w:type="nwCell"/>
    <w:tblStylePr w:type="seCell"/>
    <w:tblStylePr w:type="swCell"/>
  </w:style>
  <w:style w:type="table" w:customStyle="1" w:styleId="108">
    <w:name w:val="List Table 3 - Accent 2"/>
    <w:basedOn w:val="3"/>
    <w:qFormat/>
    <w:uiPriority w:val="99"/>
    <w:pPr>
      <w:spacing w:after="0" w:line="240" w:lineRule="auto"/>
    </w:pPr>
    <w:tblPr>
      <w:tblBorders>
        <w:top w:val="single" w:color="F4B285" w:themeColor="accent2" w:themeTint="97" w:sz="4" w:space="0"/>
        <w:left w:val="single" w:color="F4B285" w:themeColor="accent2" w:themeTint="97" w:sz="4" w:space="0"/>
        <w:bottom w:val="single" w:color="F4B285" w:themeColor="accent2" w:themeTint="97" w:sz="4" w:space="0"/>
        <w:right w:val="single" w:color="F4B285" w:themeColor="accent2" w:themeTint="97" w:sz="4" w:space="0"/>
      </w:tblBorders>
    </w:tblPr>
    <w:tblStylePr w:type="firstRow">
      <w:rPr>
        <w:rFonts w:ascii="Arial" w:hAnsi="Arial"/>
        <w:b/>
        <w:color w:val="FFFFFF"/>
        <w:sz w:val="22"/>
      </w:rPr>
      <w:tcPr>
        <w:shd w:val="clear" w:color="F4B285" w:fill="F4B28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F4B285" w:themeColor="accent2" w:themeTint="97" w:sz="4" w:space="0"/>
          <w:right w:val="single" w:color="F4B285" w:themeColor="accent2" w:themeTint="97" w:sz="4" w:space="0"/>
        </w:tcBorders>
      </w:tcPr>
    </w:tblStylePr>
    <w:tblStylePr w:type="band2Vert"/>
    <w:tblStylePr w:type="band1Horz">
      <w:rPr>
        <w:rFonts w:ascii="Arial" w:hAnsi="Arial"/>
        <w:color w:val="404040"/>
        <w:sz w:val="22"/>
      </w:rPr>
      <w:tcPr>
        <w:tcBorders>
          <w:top w:val="single" w:color="F4B285" w:themeColor="accent2" w:themeTint="97" w:sz="4" w:space="0"/>
          <w:bottom w:val="single" w:color="F4B285" w:themeColor="accent2" w:themeTint="97" w:sz="4" w:space="0"/>
        </w:tcBorders>
      </w:tcPr>
    </w:tblStylePr>
    <w:tblStylePr w:type="band2Horz"/>
    <w:tblStylePr w:type="neCell"/>
    <w:tblStylePr w:type="nwCell"/>
    <w:tblStylePr w:type="seCell"/>
    <w:tblStylePr w:type="swCell"/>
  </w:style>
  <w:style w:type="table" w:customStyle="1" w:styleId="109">
    <w:name w:val="List Table 3 - Accent 3"/>
    <w:basedOn w:val="3"/>
    <w:qFormat/>
    <w:uiPriority w:val="99"/>
    <w:pPr>
      <w:spacing w:after="0" w:line="240" w:lineRule="auto"/>
    </w:pPr>
    <w:tblPr>
      <w:tblBorders>
        <w:top w:val="single" w:color="C9C9C9" w:themeColor="accent3" w:themeTint="98" w:sz="4" w:space="0"/>
        <w:left w:val="single" w:color="C9C9C9" w:themeColor="accent3" w:themeTint="98" w:sz="4" w:space="0"/>
        <w:bottom w:val="single" w:color="C9C9C9" w:themeColor="accent3" w:themeTint="98" w:sz="4" w:space="0"/>
        <w:right w:val="single" w:color="C9C9C9" w:themeColor="accent3" w:themeTint="98" w:sz="4" w:space="0"/>
      </w:tblBorders>
    </w:tblPr>
    <w:tblStylePr w:type="firstRow">
      <w:rPr>
        <w:rFonts w:ascii="Arial" w:hAnsi="Arial"/>
        <w:b/>
        <w:color w:val="FFFFFF"/>
        <w:sz w:val="22"/>
      </w:rPr>
      <w:tcPr>
        <w:shd w:val="clear" w:color="C9C9C9" w:fill="C9C9C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C9C9C9" w:themeColor="accent3" w:themeTint="98" w:sz="4" w:space="0"/>
          <w:right w:val="single" w:color="C9C9C9" w:themeColor="accent3" w:themeTint="98" w:sz="4" w:space="0"/>
        </w:tcBorders>
      </w:tcPr>
    </w:tblStylePr>
    <w:tblStylePr w:type="band2Vert"/>
    <w:tblStylePr w:type="band1Horz">
      <w:rPr>
        <w:rFonts w:ascii="Arial" w:hAnsi="Arial"/>
        <w:color w:val="404040"/>
        <w:sz w:val="22"/>
      </w:rPr>
      <w:tcPr>
        <w:tcBorders>
          <w:top w:val="single" w:color="C9C9C9" w:themeColor="accent3" w:themeTint="98" w:sz="4" w:space="0"/>
          <w:bottom w:val="single" w:color="C9C9C9" w:themeColor="accent3" w:themeTint="98" w:sz="4" w:space="0"/>
        </w:tcBorders>
      </w:tcPr>
    </w:tblStylePr>
    <w:tblStylePr w:type="band2Horz"/>
    <w:tblStylePr w:type="neCell"/>
    <w:tblStylePr w:type="nwCell"/>
    <w:tblStylePr w:type="seCell"/>
    <w:tblStylePr w:type="swCell"/>
  </w:style>
  <w:style w:type="table" w:customStyle="1" w:styleId="110">
    <w:name w:val="List Table 3 - Accent 4"/>
    <w:basedOn w:val="3"/>
    <w:qFormat/>
    <w:uiPriority w:val="99"/>
    <w:pPr>
      <w:spacing w:after="0" w:line="240" w:lineRule="auto"/>
    </w:pPr>
    <w:tblPr>
      <w:tblBorders>
        <w:top w:val="single" w:color="FFD864" w:themeColor="accent4" w:themeTint="9A" w:sz="4" w:space="0"/>
        <w:left w:val="single" w:color="FFD864" w:themeColor="accent4" w:themeTint="9A" w:sz="4" w:space="0"/>
        <w:bottom w:val="single" w:color="FFD864" w:themeColor="accent4" w:themeTint="9A" w:sz="4" w:space="0"/>
        <w:right w:val="single" w:color="FFD864" w:themeColor="accent4" w:themeTint="9A" w:sz="4" w:space="0"/>
      </w:tblBorders>
    </w:tblPr>
    <w:tblStylePr w:type="firstRow">
      <w:rPr>
        <w:rFonts w:ascii="Arial" w:hAnsi="Arial"/>
        <w:b/>
        <w:color w:val="FFFFFF"/>
        <w:sz w:val="22"/>
      </w:rPr>
      <w:tcPr>
        <w:shd w:val="clear" w:color="FFD864" w:fill="FFD86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FFD864" w:themeColor="accent4" w:themeTint="9A" w:sz="4" w:space="0"/>
          <w:right w:val="single" w:color="FFD864" w:themeColor="accent4" w:themeTint="9A" w:sz="4" w:space="0"/>
        </w:tcBorders>
      </w:tcPr>
    </w:tblStylePr>
    <w:tblStylePr w:type="band2Vert"/>
    <w:tblStylePr w:type="band1Horz">
      <w:rPr>
        <w:rFonts w:ascii="Arial" w:hAnsi="Arial"/>
        <w:color w:val="404040"/>
        <w:sz w:val="22"/>
      </w:rPr>
      <w:tcPr>
        <w:tcBorders>
          <w:top w:val="single" w:color="FFD864" w:themeColor="accent4" w:themeTint="9A" w:sz="4" w:space="0"/>
          <w:bottom w:val="single" w:color="FFD864" w:themeColor="accent4" w:themeTint="9A" w:sz="4" w:space="0"/>
        </w:tcBorders>
      </w:tcPr>
    </w:tblStylePr>
    <w:tblStylePr w:type="band2Horz"/>
    <w:tblStylePr w:type="neCell"/>
    <w:tblStylePr w:type="nwCell"/>
    <w:tblStylePr w:type="seCell"/>
    <w:tblStylePr w:type="swCell"/>
  </w:style>
  <w:style w:type="table" w:customStyle="1" w:styleId="111">
    <w:name w:val="List Table 3 - Accent 5"/>
    <w:basedOn w:val="3"/>
    <w:qFormat/>
    <w:uiPriority w:val="99"/>
    <w:pPr>
      <w:spacing w:after="0" w:line="240" w:lineRule="auto"/>
    </w:pPr>
    <w:tblPr>
      <w:tblBorders>
        <w:top w:val="single" w:color="8EA9DB" w:themeColor="accent5" w:themeTint="9A" w:sz="4" w:space="0"/>
        <w:left w:val="single" w:color="8EA9DB" w:themeColor="accent5" w:themeTint="9A" w:sz="4" w:space="0"/>
        <w:bottom w:val="single" w:color="8EA9DB" w:themeColor="accent5" w:themeTint="9A" w:sz="4" w:space="0"/>
        <w:right w:val="single" w:color="8EA9DB" w:themeColor="accent5" w:themeTint="9A" w:sz="4" w:space="0"/>
      </w:tblBorders>
    </w:tblPr>
    <w:tblStylePr w:type="firstRow">
      <w:rPr>
        <w:rFonts w:ascii="Arial" w:hAnsi="Arial"/>
        <w:b/>
        <w:color w:val="FFFFFF"/>
        <w:sz w:val="22"/>
      </w:rPr>
      <w:tcPr>
        <w:shd w:val="clear" w:color="8EA9DB" w:fill="8EA9D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8EA9DB" w:themeColor="accent5" w:themeTint="9A" w:sz="4" w:space="0"/>
          <w:right w:val="single" w:color="8EA9DB" w:themeColor="accent5" w:themeTint="9A" w:sz="4" w:space="0"/>
        </w:tcBorders>
      </w:tcPr>
    </w:tblStylePr>
    <w:tblStylePr w:type="band2Vert"/>
    <w:tblStylePr w:type="band1Horz">
      <w:rPr>
        <w:rFonts w:ascii="Arial" w:hAnsi="Arial"/>
        <w:color w:val="404040"/>
        <w:sz w:val="22"/>
      </w:rPr>
      <w:tcPr>
        <w:tcBorders>
          <w:top w:val="single" w:color="8EA9DB" w:themeColor="accent5" w:themeTint="9A" w:sz="4" w:space="0"/>
          <w:bottom w:val="single" w:color="8EA9DB" w:themeColor="accent5" w:themeTint="9A" w:sz="4" w:space="0"/>
        </w:tcBorders>
      </w:tcPr>
    </w:tblStylePr>
    <w:tblStylePr w:type="band2Horz"/>
    <w:tblStylePr w:type="neCell"/>
    <w:tblStylePr w:type="nwCell"/>
    <w:tblStylePr w:type="seCell"/>
    <w:tblStylePr w:type="swCell"/>
  </w:style>
  <w:style w:type="table" w:customStyle="1" w:styleId="112">
    <w:name w:val="List Table 3 - Accent 6"/>
    <w:basedOn w:val="3"/>
    <w:qFormat/>
    <w:uiPriority w:val="99"/>
    <w:pPr>
      <w:spacing w:after="0" w:line="240" w:lineRule="auto"/>
    </w:pPr>
    <w:tblPr>
      <w:tblBorders>
        <w:top w:val="single" w:color="A9D08E" w:themeColor="accent6" w:themeTint="98" w:sz="4" w:space="0"/>
        <w:left w:val="single" w:color="A9D08E" w:themeColor="accent6" w:themeTint="98" w:sz="4" w:space="0"/>
        <w:bottom w:val="single" w:color="A9D08E" w:themeColor="accent6" w:themeTint="98" w:sz="4" w:space="0"/>
        <w:right w:val="single" w:color="A9D08E" w:themeColor="accent6" w:themeTint="98" w:sz="4" w:space="0"/>
      </w:tblBorders>
    </w:tblPr>
    <w:tblStylePr w:type="firstRow">
      <w:rPr>
        <w:rFonts w:ascii="Arial" w:hAnsi="Arial"/>
        <w:b/>
        <w:color w:val="FFFFFF"/>
        <w:sz w:val="22"/>
      </w:rPr>
      <w:tcPr>
        <w:shd w:val="clear" w:color="A9D08E" w:fill="A9D08E"/>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A9D08E" w:themeColor="accent6" w:themeTint="98" w:sz="4" w:space="0"/>
          <w:right w:val="single" w:color="A9D08E" w:themeColor="accent6" w:themeTint="98" w:sz="4" w:space="0"/>
        </w:tcBorders>
      </w:tcPr>
    </w:tblStylePr>
    <w:tblStylePr w:type="band2Vert"/>
    <w:tblStylePr w:type="band1Horz">
      <w:rPr>
        <w:rFonts w:ascii="Arial" w:hAnsi="Arial"/>
        <w:color w:val="404040"/>
        <w:sz w:val="22"/>
      </w:rPr>
      <w:tcPr>
        <w:tcBorders>
          <w:top w:val="single" w:color="A9D08E" w:themeColor="accent6" w:themeTint="98" w:sz="4" w:space="0"/>
          <w:bottom w:val="single" w:color="A9D08E" w:themeColor="accent6" w:themeTint="98" w:sz="4" w:space="0"/>
        </w:tcBorders>
      </w:tcPr>
    </w:tblStylePr>
    <w:tblStylePr w:type="band2Horz"/>
    <w:tblStylePr w:type="neCell"/>
    <w:tblStylePr w:type="nwCell"/>
    <w:tblStylePr w:type="seCell"/>
    <w:tblStylePr w:type="swCell"/>
  </w:style>
  <w:style w:type="table" w:customStyle="1" w:styleId="113">
    <w:name w:val="List Table 4"/>
    <w:basedOn w:val="3"/>
    <w:qFormat/>
    <w:uiPriority w:val="9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firstRow">
      <w:rPr>
        <w:rFonts w:ascii="Arial" w:hAnsi="Arial"/>
        <w:b/>
        <w:color w:val="FFFFFF"/>
        <w:sz w:val="22"/>
      </w:r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BEBEBE" w:fill="BEBEBE"/>
      </w:tcPr>
    </w:tblStylePr>
    <w:tblStylePr w:type="band2Vert"/>
    <w:tblStylePr w:type="band1Horz">
      <w:rPr>
        <w:rFonts w:ascii="Arial" w:hAnsi="Arial"/>
        <w:color w:val="404040"/>
        <w:sz w:val="22"/>
      </w:rPr>
      <w:tcPr>
        <w:shd w:val="clear" w:color="BEBEBE" w:fill="BEBEBE"/>
      </w:tcPr>
    </w:tblStylePr>
    <w:tblStylePr w:type="band2Horz"/>
    <w:tblStylePr w:type="neCell"/>
    <w:tblStylePr w:type="nwCell"/>
    <w:tblStylePr w:type="seCell"/>
    <w:tblStylePr w:type="swCell"/>
  </w:style>
  <w:style w:type="table" w:customStyle="1" w:styleId="114">
    <w:name w:val="List Table 4 - Accent 1"/>
    <w:basedOn w:val="3"/>
    <w:qFormat/>
    <w:uiPriority w:val="99"/>
    <w:pPr>
      <w:spacing w:after="0" w:line="240" w:lineRule="auto"/>
    </w:pPr>
    <w:tblPr>
      <w:tblBorders>
        <w:top w:val="single" w:color="A2C6E7" w:themeColor="accent1" w:themeTint="90" w:sz="4" w:space="0"/>
        <w:left w:val="single" w:color="A2C6E7" w:themeColor="accent1" w:themeTint="90" w:sz="4" w:space="0"/>
        <w:bottom w:val="single" w:color="A2C6E7" w:themeColor="accent1" w:themeTint="90" w:sz="4" w:space="0"/>
        <w:right w:val="single" w:color="A2C6E7" w:themeColor="accent1" w:themeTint="90" w:sz="4" w:space="0"/>
        <w:insideH w:val="single" w:color="A2C6E7" w:themeColor="accent1" w:themeTint="90" w:sz="4" w:space="0"/>
      </w:tblBorders>
    </w:tblPr>
    <w:tblStylePr w:type="firstRow">
      <w:rPr>
        <w:rFonts w:ascii="Arial" w:hAnsi="Arial"/>
        <w:b/>
        <w:color w:val="FFFFFF"/>
        <w:sz w:val="22"/>
      </w:rPr>
      <w:tcPr>
        <w:shd w:val="clear" w:color="5B9BD5" w:fill="5B9BD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D5E5F4" w:fill="D5E5F4"/>
      </w:tcPr>
    </w:tblStylePr>
    <w:tblStylePr w:type="band2Vert"/>
    <w:tblStylePr w:type="band1Horz">
      <w:rPr>
        <w:rFonts w:ascii="Arial" w:hAnsi="Arial"/>
        <w:color w:val="404040"/>
        <w:sz w:val="22"/>
      </w:rPr>
      <w:tcPr>
        <w:shd w:val="clear" w:color="D5E5F4" w:fill="D5E5F4"/>
      </w:tcPr>
    </w:tblStylePr>
    <w:tblStylePr w:type="band2Horz"/>
    <w:tblStylePr w:type="neCell"/>
    <w:tblStylePr w:type="nwCell"/>
    <w:tblStylePr w:type="seCell"/>
    <w:tblStylePr w:type="swCell"/>
  </w:style>
  <w:style w:type="table" w:customStyle="1" w:styleId="115">
    <w:name w:val="List Table 4 - Accent 2"/>
    <w:basedOn w:val="3"/>
    <w:qFormat/>
    <w:uiPriority w:val="99"/>
    <w:pPr>
      <w:spacing w:after="0" w:line="240" w:lineRule="auto"/>
    </w:pPr>
    <w:tblPr>
      <w:tblBorders>
        <w:top w:val="single" w:color="F4B58A" w:themeColor="accent2" w:themeTint="90" w:sz="4" w:space="0"/>
        <w:left w:val="single" w:color="F4B58A" w:themeColor="accent2" w:themeTint="90" w:sz="4" w:space="0"/>
        <w:bottom w:val="single" w:color="F4B58A" w:themeColor="accent2" w:themeTint="90" w:sz="4" w:space="0"/>
        <w:right w:val="single" w:color="F4B58A" w:themeColor="accent2" w:themeTint="90" w:sz="4" w:space="0"/>
        <w:insideH w:val="single" w:color="F4B58A" w:themeColor="accent2" w:themeTint="90" w:sz="4" w:space="0"/>
      </w:tblBorders>
    </w:tblPr>
    <w:tblStylePr w:type="firstRow">
      <w:rPr>
        <w:rFonts w:ascii="Arial" w:hAnsi="Arial"/>
        <w:b/>
        <w:color w:val="FFFFFF"/>
        <w:sz w:val="22"/>
      </w:rPr>
      <w:tcPr>
        <w:shd w:val="clear" w:color="ED7D31" w:fill="ED7D3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FADECB" w:fill="FADECB"/>
      </w:tcPr>
    </w:tblStylePr>
    <w:tblStylePr w:type="band2Vert"/>
    <w:tblStylePr w:type="band1Horz">
      <w:rPr>
        <w:rFonts w:ascii="Arial" w:hAnsi="Arial"/>
        <w:color w:val="404040"/>
        <w:sz w:val="22"/>
      </w:rPr>
      <w:tcPr>
        <w:shd w:val="clear" w:color="FADECB" w:fill="FADECB"/>
      </w:tcPr>
    </w:tblStylePr>
    <w:tblStylePr w:type="band2Horz"/>
    <w:tblStylePr w:type="neCell"/>
    <w:tblStylePr w:type="nwCell"/>
    <w:tblStylePr w:type="seCell"/>
    <w:tblStylePr w:type="swCell"/>
  </w:style>
  <w:style w:type="table" w:customStyle="1" w:styleId="116">
    <w:name w:val="List Table 4 - Accent 3"/>
    <w:basedOn w:val="3"/>
    <w:qFormat/>
    <w:uiPriority w:val="99"/>
    <w:pPr>
      <w:spacing w:after="0" w:line="240" w:lineRule="auto"/>
    </w:pPr>
    <w:tblPr>
      <w:tblBorders>
        <w:top w:val="single" w:color="CCCCCC" w:themeColor="accent3" w:themeTint="90" w:sz="4" w:space="0"/>
        <w:left w:val="single" w:color="CCCCCC" w:themeColor="accent3" w:themeTint="90" w:sz="4" w:space="0"/>
        <w:bottom w:val="single" w:color="CCCCCC" w:themeColor="accent3" w:themeTint="90" w:sz="4" w:space="0"/>
        <w:right w:val="single" w:color="CCCCCC" w:themeColor="accent3" w:themeTint="90" w:sz="4" w:space="0"/>
        <w:insideH w:val="single" w:color="CCCCCC" w:themeColor="accent3" w:themeTint="90" w:sz="4" w:space="0"/>
      </w:tblBorders>
    </w:tblPr>
    <w:tblStylePr w:type="firstRow">
      <w:rPr>
        <w:rFonts w:ascii="Arial" w:hAnsi="Arial"/>
        <w:b/>
        <w:color w:val="FFFFFF"/>
        <w:sz w:val="22"/>
      </w:rPr>
      <w:tcPr>
        <w:shd w:val="clear" w:color="A5A5A5" w:fill="A5A5A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E8E8E8" w:fill="E8E8E8"/>
      </w:tcPr>
    </w:tblStylePr>
    <w:tblStylePr w:type="band2Vert"/>
    <w:tblStylePr w:type="band1Horz">
      <w:rPr>
        <w:rFonts w:ascii="Arial" w:hAnsi="Arial"/>
        <w:color w:val="404040"/>
        <w:sz w:val="22"/>
      </w:rPr>
      <w:tcPr>
        <w:shd w:val="clear" w:color="E8E8E8" w:fill="E8E8E8"/>
      </w:tcPr>
    </w:tblStylePr>
    <w:tblStylePr w:type="band2Horz"/>
    <w:tblStylePr w:type="neCell"/>
    <w:tblStylePr w:type="nwCell"/>
    <w:tblStylePr w:type="seCell"/>
    <w:tblStylePr w:type="swCell"/>
  </w:style>
  <w:style w:type="table" w:customStyle="1" w:styleId="117">
    <w:name w:val="List Table 4 - Accent 4"/>
    <w:basedOn w:val="3"/>
    <w:qFormat/>
    <w:uiPriority w:val="99"/>
    <w:pPr>
      <w:spacing w:after="0" w:line="240" w:lineRule="auto"/>
    </w:pPr>
    <w:tblPr>
      <w:tblBorders>
        <w:top w:val="single" w:color="FFDB6E" w:themeColor="accent4" w:themeTint="90" w:sz="4" w:space="0"/>
        <w:left w:val="single" w:color="FFDB6E" w:themeColor="accent4" w:themeTint="90" w:sz="4" w:space="0"/>
        <w:bottom w:val="single" w:color="FFDB6E" w:themeColor="accent4" w:themeTint="90" w:sz="4" w:space="0"/>
        <w:right w:val="single" w:color="FFDB6E" w:themeColor="accent4" w:themeTint="90" w:sz="4" w:space="0"/>
        <w:insideH w:val="single" w:color="FFDB6E" w:themeColor="accent4" w:themeTint="90" w:sz="4" w:space="0"/>
      </w:tblBorders>
    </w:tblPr>
    <w:tblStylePr w:type="firstRow">
      <w:rPr>
        <w:rFonts w:ascii="Arial" w:hAnsi="Arial"/>
        <w:b/>
        <w:color w:val="FFFFFF"/>
        <w:sz w:val="22"/>
      </w:rPr>
      <w:tcPr>
        <w:shd w:val="clear" w:color="FFC000" w:fill="FFC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FFEFBE" w:fill="FFEFBE"/>
      </w:tcPr>
    </w:tblStylePr>
    <w:tblStylePr w:type="band2Vert"/>
    <w:tblStylePr w:type="band1Horz">
      <w:rPr>
        <w:rFonts w:ascii="Arial" w:hAnsi="Arial"/>
        <w:color w:val="404040"/>
        <w:sz w:val="22"/>
      </w:rPr>
      <w:tcPr>
        <w:shd w:val="clear" w:color="FFEFBE" w:fill="FFEFBE"/>
      </w:tcPr>
    </w:tblStylePr>
    <w:tblStylePr w:type="band2Horz"/>
    <w:tblStylePr w:type="neCell"/>
    <w:tblStylePr w:type="nwCell"/>
    <w:tblStylePr w:type="seCell"/>
    <w:tblStylePr w:type="swCell"/>
  </w:style>
  <w:style w:type="table" w:customStyle="1" w:styleId="118">
    <w:name w:val="List Table 4 - Accent 5"/>
    <w:basedOn w:val="3"/>
    <w:qFormat/>
    <w:uiPriority w:val="99"/>
    <w:pPr>
      <w:spacing w:after="0" w:line="240" w:lineRule="auto"/>
    </w:pPr>
    <w:tblPr>
      <w:tblBorders>
        <w:top w:val="single" w:color="95AFDD" w:themeColor="accent5" w:themeTint="90" w:sz="4" w:space="0"/>
        <w:left w:val="single" w:color="95AFDD" w:themeColor="accent5" w:themeTint="90" w:sz="4" w:space="0"/>
        <w:bottom w:val="single" w:color="95AFDD" w:themeColor="accent5" w:themeTint="90" w:sz="4" w:space="0"/>
        <w:right w:val="single" w:color="95AFDD" w:themeColor="accent5" w:themeTint="90" w:sz="4" w:space="0"/>
        <w:insideH w:val="single" w:color="95AFDD" w:themeColor="accent5" w:themeTint="90" w:sz="4" w:space="0"/>
      </w:tblBorders>
    </w:tblPr>
    <w:tblStylePr w:type="firstRow">
      <w:rPr>
        <w:rFonts w:ascii="Arial" w:hAnsi="Arial"/>
        <w:b/>
        <w:color w:val="FFFFFF"/>
        <w:sz w:val="22"/>
      </w:rPr>
      <w:tcPr>
        <w:shd w:val="clear" w:color="4472C4" w:fill="4472C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D0DBF0" w:fill="D0DBF0"/>
      </w:tcPr>
    </w:tblStylePr>
    <w:tblStylePr w:type="band2Vert"/>
    <w:tblStylePr w:type="band1Horz">
      <w:rPr>
        <w:rFonts w:ascii="Arial" w:hAnsi="Arial"/>
        <w:color w:val="404040"/>
        <w:sz w:val="22"/>
      </w:rPr>
      <w:tcPr>
        <w:shd w:val="clear" w:color="D0DBF0" w:fill="D0DBF0"/>
      </w:tcPr>
    </w:tblStylePr>
    <w:tblStylePr w:type="band2Horz"/>
    <w:tblStylePr w:type="neCell"/>
    <w:tblStylePr w:type="nwCell"/>
    <w:tblStylePr w:type="seCell"/>
    <w:tblStylePr w:type="swCell"/>
  </w:style>
  <w:style w:type="table" w:customStyle="1" w:styleId="119">
    <w:name w:val="List Table 4 - Accent 6"/>
    <w:basedOn w:val="3"/>
    <w:qFormat/>
    <w:uiPriority w:val="99"/>
    <w:pPr>
      <w:spacing w:after="0" w:line="240" w:lineRule="auto"/>
    </w:pPr>
    <w:tblPr>
      <w:tblBorders>
        <w:top w:val="single" w:color="ADD394" w:themeColor="accent6" w:themeTint="90" w:sz="4" w:space="0"/>
        <w:left w:val="single" w:color="ADD394" w:themeColor="accent6" w:themeTint="90" w:sz="4" w:space="0"/>
        <w:bottom w:val="single" w:color="ADD394" w:themeColor="accent6" w:themeTint="90" w:sz="4" w:space="0"/>
        <w:right w:val="single" w:color="ADD394" w:themeColor="accent6" w:themeTint="90" w:sz="4" w:space="0"/>
        <w:insideH w:val="single" w:color="ADD394" w:themeColor="accent6" w:themeTint="90" w:sz="4" w:space="0"/>
      </w:tblBorders>
    </w:tblPr>
    <w:tblStylePr w:type="firstRow">
      <w:rPr>
        <w:rFonts w:ascii="Arial" w:hAnsi="Arial"/>
        <w:b/>
        <w:color w:val="FFFFFF"/>
        <w:sz w:val="22"/>
      </w:rPr>
      <w:tcPr>
        <w:shd w:val="clear" w:color="70AD47" w:fill="70AD4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DAEBCF" w:fill="DAEBCF"/>
      </w:tcPr>
    </w:tblStylePr>
    <w:tblStylePr w:type="band2Vert"/>
    <w:tblStylePr w:type="band1Horz">
      <w:rPr>
        <w:rFonts w:ascii="Arial" w:hAnsi="Arial"/>
        <w:color w:val="404040"/>
        <w:sz w:val="22"/>
      </w:rPr>
      <w:tcPr>
        <w:shd w:val="clear" w:color="DAEBCF" w:fill="DAEBCF"/>
      </w:tcPr>
    </w:tblStylePr>
    <w:tblStylePr w:type="band2Horz"/>
    <w:tblStylePr w:type="neCell"/>
    <w:tblStylePr w:type="nwCell"/>
    <w:tblStylePr w:type="seCell"/>
    <w:tblStylePr w:type="swCell"/>
  </w:style>
  <w:style w:type="table" w:customStyle="1" w:styleId="120">
    <w:name w:val="List Table 5 Dark"/>
    <w:basedOn w:val="3"/>
    <w:qFormat/>
    <w:uiPriority w:val="99"/>
    <w:pPr>
      <w:spacing w:after="0" w:line="240" w:lineRule="auto"/>
    </w:pPr>
    <w:tblPr>
      <w:tblBorders>
        <w:top w:val="single" w:color="7E7E7E" w:themeColor="text1" w:themeTint="80" w:sz="32" w:space="0"/>
        <w:left w:val="single" w:color="7E7E7E" w:themeColor="text1" w:themeTint="80" w:sz="32" w:space="0"/>
        <w:bottom w:val="single" w:color="7E7E7E" w:themeColor="text1" w:themeTint="80" w:sz="32" w:space="0"/>
        <w:right w:val="single" w:color="7E7E7E" w:themeColor="text1" w:themeTint="80" w:sz="32" w:space="0"/>
      </w:tblBorders>
    </w:tblPr>
    <w:tblStylePr w:type="firstRow">
      <w:rPr>
        <w:rFonts w:ascii="Arial" w:hAnsi="Arial"/>
        <w:b/>
        <w:color w:val="FFFFFF" w:themeColor="light1"/>
        <w:sz w:val="22"/>
        <w14:textFill>
          <w14:solidFill>
            <w14:schemeClr w14:val="lt1"/>
          </w14:solidFill>
        </w14:textFill>
      </w:rPr>
      <w:tcPr>
        <w:tcBorders>
          <w:top w:val="single" w:color="7E7E7E" w:themeColor="text1" w:themeTint="80" w:sz="32" w:space="0"/>
          <w:bottom w:val="single" w:color="FFFFFF" w:themeColor="light1" w:sz="12" w:space="0"/>
        </w:tcBorders>
        <w:shd w:val="clear" w:color="7E7E7E" w:fill="7E7E7E"/>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7E7E7E" w:themeColor="text1" w:themeTint="80" w:sz="32" w:space="0"/>
          <w:right w:val="single" w:color="FFFFFF" w:themeColor="light1" w:sz="4" w:space="0"/>
        </w:tcBorders>
      </w:tcPr>
    </w:tblStylePr>
    <w:tblStylePr w:type="lastCol">
      <w:tcPr>
        <w:tcBorders>
          <w:left w:val="single" w:color="FFFFFF" w:themeColor="light1" w:sz="4" w:space="0"/>
          <w:right w:val="single" w:color="7E7E7E" w:themeColor="text1" w:themeTint="80" w:sz="32" w:space="0"/>
        </w:tcBorders>
      </w:tcPr>
    </w:tblStylePr>
    <w:tblStylePr w:type="band1Vert">
      <w:tcPr>
        <w:tcBorders>
          <w:left w:val="single" w:color="FFFFFF" w:themeColor="light1" w:sz="4" w:space="0"/>
          <w:right w:val="single" w:color="FFFFFF" w:themeColor="light1" w:sz="4" w:space="0"/>
        </w:tcBorders>
        <w:shd w:val="clear" w:color="7E7E7E" w:fill="7E7E7E"/>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7E7E7E" w:fill="7E7E7E"/>
      </w:tcPr>
    </w:tblStylePr>
    <w:tblStylePr w:type="band2Horz">
      <w:tcPr>
        <w:tcBorders>
          <w:top w:val="single" w:color="FFFFFF" w:themeColor="light1" w:sz="4" w:space="0"/>
          <w:bottom w:val="single" w:color="FFFFFF" w:themeColor="light1" w:sz="4" w:space="0"/>
        </w:tcBorders>
        <w:shd w:val="clear" w:color="7E7E7E" w:fill="7E7E7E"/>
      </w:tcPr>
    </w:tblStylePr>
    <w:tblStylePr w:type="neCell"/>
    <w:tblStylePr w:type="nwCell"/>
    <w:tblStylePr w:type="seCell"/>
    <w:tblStylePr w:type="swCell"/>
  </w:style>
  <w:style w:type="table" w:customStyle="1" w:styleId="121">
    <w:name w:val="List Table 5 Dark - Accent 1"/>
    <w:basedOn w:val="3"/>
    <w:qFormat/>
    <w:uiPriority w:val="99"/>
    <w:pPr>
      <w:spacing w:after="0" w:line="240" w:lineRule="auto"/>
    </w:pPr>
    <w:tblPr>
      <w:tblBorders>
        <w:top w:val="single" w:color="5B9BD5" w:themeColor="accent1" w:sz="32" w:space="0"/>
        <w:left w:val="single" w:color="5B9BD5" w:themeColor="accent1" w:sz="32" w:space="0"/>
        <w:bottom w:val="single" w:color="5B9BD5" w:themeColor="accent1" w:sz="32" w:space="0"/>
        <w:right w:val="single" w:color="5B9BD5" w:themeColor="accent1" w:sz="32" w:space="0"/>
      </w:tblBorders>
    </w:tblPr>
    <w:tblStylePr w:type="firstRow">
      <w:rPr>
        <w:rFonts w:ascii="Arial" w:hAnsi="Arial"/>
        <w:b/>
        <w:color w:val="FFFFFF" w:themeColor="light1"/>
        <w:sz w:val="22"/>
        <w14:textFill>
          <w14:solidFill>
            <w14:schemeClr w14:val="lt1"/>
          </w14:solidFill>
        </w14:textFill>
      </w:rPr>
      <w:tcPr>
        <w:tcBorders>
          <w:top w:val="single" w:color="5B9BD5" w:themeColor="accent1" w:sz="32" w:space="0"/>
          <w:bottom w:val="single" w:color="FFFFFF" w:themeColor="light1" w:sz="12" w:space="0"/>
        </w:tcBorders>
        <w:shd w:val="clear" w:color="5B9BD5" w:fill="5B9BD5"/>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5B9BD5" w:themeColor="accent1" w:sz="32" w:space="0"/>
          <w:right w:val="single" w:color="FFFFFF" w:themeColor="light1" w:sz="4" w:space="0"/>
        </w:tcBorders>
      </w:tcPr>
    </w:tblStylePr>
    <w:tblStylePr w:type="lastCol">
      <w:tcPr>
        <w:tcBorders>
          <w:left w:val="single" w:color="FFFFFF" w:themeColor="light1" w:sz="4" w:space="0"/>
          <w:right w:val="single" w:color="5B9BD5" w:themeColor="accent1" w:sz="32" w:space="0"/>
        </w:tcBorders>
      </w:tcPr>
    </w:tblStylePr>
    <w:tblStylePr w:type="band1Vert">
      <w:tcPr>
        <w:tcBorders>
          <w:left w:val="single" w:color="FFFFFF" w:themeColor="light1" w:sz="4" w:space="0"/>
          <w:right w:val="single" w:color="FFFFFF" w:themeColor="light1" w:sz="4" w:space="0"/>
        </w:tcBorders>
        <w:shd w:val="clear" w:color="5B9BD5" w:fill="5B9BD5"/>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5B9BD5" w:fill="5B9BD5"/>
      </w:tcPr>
    </w:tblStylePr>
    <w:tblStylePr w:type="band2Horz">
      <w:tcPr>
        <w:tcBorders>
          <w:top w:val="single" w:color="FFFFFF" w:themeColor="light1" w:sz="4" w:space="0"/>
          <w:bottom w:val="single" w:color="FFFFFF" w:themeColor="light1" w:sz="4" w:space="0"/>
        </w:tcBorders>
        <w:shd w:val="clear" w:color="5B9BD5" w:fill="5B9BD5"/>
      </w:tcPr>
    </w:tblStylePr>
    <w:tblStylePr w:type="neCell"/>
    <w:tblStylePr w:type="nwCell"/>
    <w:tblStylePr w:type="seCell"/>
    <w:tblStylePr w:type="swCell"/>
  </w:style>
  <w:style w:type="table" w:customStyle="1" w:styleId="122">
    <w:name w:val="List Table 5 Dark - Accent 2"/>
    <w:basedOn w:val="3"/>
    <w:qFormat/>
    <w:uiPriority w:val="99"/>
    <w:pPr>
      <w:spacing w:after="0" w:line="240" w:lineRule="auto"/>
    </w:pPr>
    <w:tblPr>
      <w:tblBorders>
        <w:top w:val="single" w:color="F4B285" w:themeColor="accent2" w:themeTint="97" w:sz="32" w:space="0"/>
        <w:left w:val="single" w:color="F4B285" w:themeColor="accent2" w:themeTint="97" w:sz="32" w:space="0"/>
        <w:bottom w:val="single" w:color="F4B285" w:themeColor="accent2" w:themeTint="97" w:sz="32" w:space="0"/>
        <w:right w:val="single" w:color="F4B285" w:themeColor="accent2" w:themeTint="97" w:sz="32" w:space="0"/>
      </w:tblBorders>
    </w:tblPr>
    <w:tblStylePr w:type="firstRow">
      <w:rPr>
        <w:rFonts w:ascii="Arial" w:hAnsi="Arial"/>
        <w:b/>
        <w:color w:val="FFFFFF" w:themeColor="light1"/>
        <w:sz w:val="22"/>
        <w14:textFill>
          <w14:solidFill>
            <w14:schemeClr w14:val="lt1"/>
          </w14:solidFill>
        </w14:textFill>
      </w:rPr>
      <w:tcPr>
        <w:tcBorders>
          <w:top w:val="single" w:color="F4B285" w:themeColor="accent2" w:themeTint="97" w:sz="32" w:space="0"/>
          <w:bottom w:val="single" w:color="FFFFFF" w:themeColor="light1" w:sz="12" w:space="0"/>
        </w:tcBorders>
        <w:shd w:val="clear" w:color="F4B285" w:fill="F4B285"/>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F4B285" w:themeColor="accent2" w:themeTint="97" w:sz="32" w:space="0"/>
          <w:right w:val="single" w:color="FFFFFF" w:themeColor="light1" w:sz="4" w:space="0"/>
        </w:tcBorders>
      </w:tcPr>
    </w:tblStylePr>
    <w:tblStylePr w:type="lastCol">
      <w:tcPr>
        <w:tcBorders>
          <w:left w:val="single" w:color="FFFFFF" w:themeColor="light1" w:sz="4" w:space="0"/>
          <w:right w:val="single" w:color="F4B285" w:themeColor="accent2" w:themeTint="97" w:sz="32" w:space="0"/>
        </w:tcBorders>
      </w:tcPr>
    </w:tblStylePr>
    <w:tblStylePr w:type="band1Vert">
      <w:tcPr>
        <w:tcBorders>
          <w:left w:val="single" w:color="FFFFFF" w:themeColor="light1" w:sz="4" w:space="0"/>
          <w:right w:val="single" w:color="FFFFFF" w:themeColor="light1" w:sz="4" w:space="0"/>
        </w:tcBorders>
        <w:shd w:val="clear" w:color="F4B285" w:fill="F4B285"/>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F4B285" w:fill="F4B285"/>
      </w:tcPr>
    </w:tblStylePr>
    <w:tblStylePr w:type="band2Horz">
      <w:tcPr>
        <w:tcBorders>
          <w:top w:val="single" w:color="FFFFFF" w:themeColor="light1" w:sz="4" w:space="0"/>
          <w:bottom w:val="single" w:color="FFFFFF" w:themeColor="light1" w:sz="4" w:space="0"/>
        </w:tcBorders>
        <w:shd w:val="clear" w:color="F4B285" w:fill="F4B285"/>
      </w:tcPr>
    </w:tblStylePr>
    <w:tblStylePr w:type="neCell"/>
    <w:tblStylePr w:type="nwCell"/>
    <w:tblStylePr w:type="seCell"/>
    <w:tblStylePr w:type="swCell"/>
  </w:style>
  <w:style w:type="table" w:customStyle="1" w:styleId="123">
    <w:name w:val="List Table 5 Dark - Accent 3"/>
    <w:basedOn w:val="3"/>
    <w:qFormat/>
    <w:uiPriority w:val="99"/>
    <w:pPr>
      <w:spacing w:after="0" w:line="240" w:lineRule="auto"/>
    </w:pPr>
    <w:tblPr>
      <w:tblBorders>
        <w:top w:val="single" w:color="C9C9C9" w:themeColor="accent3" w:themeTint="98" w:sz="32" w:space="0"/>
        <w:left w:val="single" w:color="C9C9C9" w:themeColor="accent3" w:themeTint="98" w:sz="32" w:space="0"/>
        <w:bottom w:val="single" w:color="C9C9C9" w:themeColor="accent3" w:themeTint="98" w:sz="32" w:space="0"/>
        <w:right w:val="single" w:color="C9C9C9" w:themeColor="accent3" w:themeTint="98" w:sz="32" w:space="0"/>
      </w:tblBorders>
    </w:tblPr>
    <w:tblStylePr w:type="firstRow">
      <w:rPr>
        <w:rFonts w:ascii="Arial" w:hAnsi="Arial"/>
        <w:b/>
        <w:color w:val="FFFFFF" w:themeColor="light1"/>
        <w:sz w:val="22"/>
        <w14:textFill>
          <w14:solidFill>
            <w14:schemeClr w14:val="lt1"/>
          </w14:solidFill>
        </w14:textFill>
      </w:rPr>
      <w:tcPr>
        <w:tcBorders>
          <w:top w:val="single" w:color="C9C9C9" w:themeColor="accent3" w:themeTint="98" w:sz="32" w:space="0"/>
          <w:bottom w:val="single" w:color="FFFFFF" w:themeColor="light1" w:sz="12" w:space="0"/>
        </w:tcBorders>
        <w:shd w:val="clear" w:color="C9C9C9" w:fill="C9C9C9"/>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C9C9C9" w:themeColor="accent3" w:themeTint="98" w:sz="32" w:space="0"/>
          <w:right w:val="single" w:color="FFFFFF" w:themeColor="light1" w:sz="4" w:space="0"/>
        </w:tcBorders>
      </w:tcPr>
    </w:tblStylePr>
    <w:tblStylePr w:type="lastCol">
      <w:tcPr>
        <w:tcBorders>
          <w:left w:val="single" w:color="FFFFFF" w:themeColor="light1" w:sz="4" w:space="0"/>
          <w:right w:val="single" w:color="C9C9C9" w:themeColor="accent3" w:themeTint="98" w:sz="32" w:space="0"/>
        </w:tcBorders>
      </w:tcPr>
    </w:tblStylePr>
    <w:tblStylePr w:type="band1Vert">
      <w:tcPr>
        <w:tcBorders>
          <w:left w:val="single" w:color="FFFFFF" w:themeColor="light1" w:sz="4" w:space="0"/>
          <w:right w:val="single" w:color="FFFFFF" w:themeColor="light1" w:sz="4" w:space="0"/>
        </w:tcBorders>
        <w:shd w:val="clear" w:color="C9C9C9" w:fill="C9C9C9"/>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C9C9C9" w:fill="C9C9C9"/>
      </w:tcPr>
    </w:tblStylePr>
    <w:tblStylePr w:type="band2Horz">
      <w:tcPr>
        <w:tcBorders>
          <w:top w:val="single" w:color="FFFFFF" w:themeColor="light1" w:sz="4" w:space="0"/>
          <w:bottom w:val="single" w:color="FFFFFF" w:themeColor="light1" w:sz="4" w:space="0"/>
        </w:tcBorders>
        <w:shd w:val="clear" w:color="C9C9C9" w:fill="C9C9C9"/>
      </w:tcPr>
    </w:tblStylePr>
    <w:tblStylePr w:type="neCell"/>
    <w:tblStylePr w:type="nwCell"/>
    <w:tblStylePr w:type="seCell"/>
    <w:tblStylePr w:type="swCell"/>
  </w:style>
  <w:style w:type="table" w:customStyle="1" w:styleId="124">
    <w:name w:val="List Table 5 Dark - Accent 4"/>
    <w:basedOn w:val="3"/>
    <w:qFormat/>
    <w:uiPriority w:val="99"/>
    <w:pPr>
      <w:spacing w:after="0" w:line="240" w:lineRule="auto"/>
    </w:pPr>
    <w:tblPr>
      <w:tblBorders>
        <w:top w:val="single" w:color="FFD864" w:themeColor="accent4" w:themeTint="9A" w:sz="32" w:space="0"/>
        <w:left w:val="single" w:color="FFD864" w:themeColor="accent4" w:themeTint="9A" w:sz="32" w:space="0"/>
        <w:bottom w:val="single" w:color="FFD864" w:themeColor="accent4" w:themeTint="9A" w:sz="32" w:space="0"/>
        <w:right w:val="single" w:color="FFD864" w:themeColor="accent4" w:themeTint="9A" w:sz="32" w:space="0"/>
      </w:tblBorders>
    </w:tblPr>
    <w:tblStylePr w:type="firstRow">
      <w:rPr>
        <w:rFonts w:ascii="Arial" w:hAnsi="Arial"/>
        <w:b/>
        <w:color w:val="FFFFFF" w:themeColor="light1"/>
        <w:sz w:val="22"/>
        <w14:textFill>
          <w14:solidFill>
            <w14:schemeClr w14:val="lt1"/>
          </w14:solidFill>
        </w14:textFill>
      </w:rPr>
      <w:tcPr>
        <w:tcBorders>
          <w:top w:val="single" w:color="FFD864" w:themeColor="accent4" w:themeTint="9A" w:sz="32" w:space="0"/>
          <w:bottom w:val="single" w:color="FFFFFF" w:themeColor="light1" w:sz="12" w:space="0"/>
        </w:tcBorders>
        <w:shd w:val="clear" w:color="FFD864" w:fill="FFD864"/>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FFD864" w:themeColor="accent4" w:themeTint="9A" w:sz="32" w:space="0"/>
          <w:right w:val="single" w:color="FFFFFF" w:themeColor="light1" w:sz="4" w:space="0"/>
        </w:tcBorders>
      </w:tcPr>
    </w:tblStylePr>
    <w:tblStylePr w:type="lastCol">
      <w:tcPr>
        <w:tcBorders>
          <w:left w:val="single" w:color="FFFFFF" w:themeColor="light1" w:sz="4" w:space="0"/>
          <w:right w:val="single" w:color="FFD864" w:themeColor="accent4" w:themeTint="9A" w:sz="32" w:space="0"/>
        </w:tcBorders>
      </w:tcPr>
    </w:tblStylePr>
    <w:tblStylePr w:type="band1Vert">
      <w:tcPr>
        <w:tcBorders>
          <w:left w:val="single" w:color="FFFFFF" w:themeColor="light1" w:sz="4" w:space="0"/>
          <w:right w:val="single" w:color="FFFFFF" w:themeColor="light1" w:sz="4" w:space="0"/>
        </w:tcBorders>
        <w:shd w:val="clear" w:color="FFD864" w:fill="FFD864"/>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FFD864" w:fill="FFD864"/>
      </w:tcPr>
    </w:tblStylePr>
    <w:tblStylePr w:type="band2Horz">
      <w:tcPr>
        <w:tcBorders>
          <w:top w:val="single" w:color="FFFFFF" w:themeColor="light1" w:sz="4" w:space="0"/>
          <w:bottom w:val="single" w:color="FFFFFF" w:themeColor="light1" w:sz="4" w:space="0"/>
        </w:tcBorders>
        <w:shd w:val="clear" w:color="FFD864" w:fill="FFD864"/>
      </w:tcPr>
    </w:tblStylePr>
    <w:tblStylePr w:type="neCell"/>
    <w:tblStylePr w:type="nwCell"/>
    <w:tblStylePr w:type="seCell"/>
    <w:tblStylePr w:type="swCell"/>
  </w:style>
  <w:style w:type="table" w:customStyle="1" w:styleId="125">
    <w:name w:val="List Table 5 Dark - Accent 5"/>
    <w:basedOn w:val="3"/>
    <w:qFormat/>
    <w:uiPriority w:val="99"/>
    <w:pPr>
      <w:spacing w:after="0" w:line="240" w:lineRule="auto"/>
    </w:pPr>
    <w:tblPr>
      <w:tblBorders>
        <w:top w:val="single" w:color="8EA9DB" w:themeColor="accent5" w:themeTint="9A" w:sz="32" w:space="0"/>
        <w:left w:val="single" w:color="8EA9DB" w:themeColor="accent5" w:themeTint="9A" w:sz="32" w:space="0"/>
        <w:bottom w:val="single" w:color="8EA9DB" w:themeColor="accent5" w:themeTint="9A" w:sz="32" w:space="0"/>
        <w:right w:val="single" w:color="8EA9DB" w:themeColor="accent5" w:themeTint="9A" w:sz="32" w:space="0"/>
      </w:tblBorders>
    </w:tblPr>
    <w:tblStylePr w:type="firstRow">
      <w:rPr>
        <w:rFonts w:ascii="Arial" w:hAnsi="Arial"/>
        <w:b/>
        <w:color w:val="FFFFFF" w:themeColor="light1"/>
        <w:sz w:val="22"/>
        <w14:textFill>
          <w14:solidFill>
            <w14:schemeClr w14:val="lt1"/>
          </w14:solidFill>
        </w14:textFill>
      </w:rPr>
      <w:tcPr>
        <w:tcBorders>
          <w:top w:val="single" w:color="8EA9DB" w:themeColor="accent5" w:themeTint="9A" w:sz="32" w:space="0"/>
          <w:bottom w:val="single" w:color="FFFFFF" w:themeColor="light1" w:sz="12" w:space="0"/>
        </w:tcBorders>
        <w:shd w:val="clear" w:color="8EA9DB" w:fill="8EA9DB"/>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8EA9DB" w:themeColor="accent5" w:themeTint="9A" w:sz="32" w:space="0"/>
          <w:right w:val="single" w:color="FFFFFF" w:themeColor="light1" w:sz="4" w:space="0"/>
        </w:tcBorders>
      </w:tcPr>
    </w:tblStylePr>
    <w:tblStylePr w:type="lastCol">
      <w:tcPr>
        <w:tcBorders>
          <w:left w:val="single" w:color="FFFFFF" w:themeColor="light1" w:sz="4" w:space="0"/>
          <w:right w:val="single" w:color="8EA9DB" w:themeColor="accent5" w:themeTint="9A" w:sz="32" w:space="0"/>
        </w:tcBorders>
      </w:tcPr>
    </w:tblStylePr>
    <w:tblStylePr w:type="band1Vert">
      <w:tcPr>
        <w:tcBorders>
          <w:left w:val="single" w:color="FFFFFF" w:themeColor="light1" w:sz="4" w:space="0"/>
          <w:right w:val="single" w:color="FFFFFF" w:themeColor="light1" w:sz="4" w:space="0"/>
        </w:tcBorders>
        <w:shd w:val="clear" w:color="8EA9DB" w:fill="8EA9DB"/>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8EA9DB" w:fill="8EA9DB"/>
      </w:tcPr>
    </w:tblStylePr>
    <w:tblStylePr w:type="band2Horz">
      <w:tcPr>
        <w:tcBorders>
          <w:top w:val="single" w:color="FFFFFF" w:themeColor="light1" w:sz="4" w:space="0"/>
          <w:bottom w:val="single" w:color="FFFFFF" w:themeColor="light1" w:sz="4" w:space="0"/>
        </w:tcBorders>
        <w:shd w:val="clear" w:color="8EA9DB" w:fill="8EA9DB"/>
      </w:tcPr>
    </w:tblStylePr>
    <w:tblStylePr w:type="neCell"/>
    <w:tblStylePr w:type="nwCell"/>
    <w:tblStylePr w:type="seCell"/>
    <w:tblStylePr w:type="swCell"/>
  </w:style>
  <w:style w:type="table" w:customStyle="1" w:styleId="126">
    <w:name w:val="List Table 5 Dark - Accent 6"/>
    <w:basedOn w:val="3"/>
    <w:qFormat/>
    <w:uiPriority w:val="99"/>
    <w:pPr>
      <w:spacing w:after="0" w:line="240" w:lineRule="auto"/>
    </w:pPr>
    <w:tblPr>
      <w:tblBorders>
        <w:top w:val="single" w:color="A9D08E" w:themeColor="accent6" w:themeTint="98" w:sz="32" w:space="0"/>
        <w:left w:val="single" w:color="A9D08E" w:themeColor="accent6" w:themeTint="98" w:sz="32" w:space="0"/>
        <w:bottom w:val="single" w:color="A9D08E" w:themeColor="accent6" w:themeTint="98" w:sz="32" w:space="0"/>
        <w:right w:val="single" w:color="A9D08E" w:themeColor="accent6" w:themeTint="98" w:sz="32" w:space="0"/>
      </w:tblBorders>
    </w:tblPr>
    <w:tblStylePr w:type="firstRow">
      <w:rPr>
        <w:rFonts w:ascii="Arial" w:hAnsi="Arial"/>
        <w:b/>
        <w:color w:val="FFFFFF" w:themeColor="light1"/>
        <w:sz w:val="22"/>
        <w14:textFill>
          <w14:solidFill>
            <w14:schemeClr w14:val="lt1"/>
          </w14:solidFill>
        </w14:textFill>
      </w:rPr>
      <w:tcPr>
        <w:tcBorders>
          <w:top w:val="single" w:color="A9D08E" w:themeColor="accent6" w:themeTint="98" w:sz="32" w:space="0"/>
          <w:bottom w:val="single" w:color="FFFFFF" w:themeColor="light1" w:sz="12" w:space="0"/>
        </w:tcBorders>
        <w:shd w:val="clear" w:color="A9D08E" w:fill="A9D08E"/>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A9D08E" w:themeColor="accent6" w:themeTint="98" w:sz="32" w:space="0"/>
          <w:right w:val="single" w:color="FFFFFF" w:themeColor="light1" w:sz="4" w:space="0"/>
        </w:tcBorders>
      </w:tcPr>
    </w:tblStylePr>
    <w:tblStylePr w:type="lastCol">
      <w:tcPr>
        <w:tcBorders>
          <w:left w:val="single" w:color="FFFFFF" w:themeColor="light1" w:sz="4" w:space="0"/>
          <w:right w:val="single" w:color="A9D08E" w:themeColor="accent6" w:themeTint="98" w:sz="32" w:space="0"/>
        </w:tcBorders>
      </w:tcPr>
    </w:tblStylePr>
    <w:tblStylePr w:type="band1Vert">
      <w:tcPr>
        <w:tcBorders>
          <w:left w:val="single" w:color="FFFFFF" w:themeColor="light1" w:sz="4" w:space="0"/>
          <w:right w:val="single" w:color="FFFFFF" w:themeColor="light1" w:sz="4" w:space="0"/>
        </w:tcBorders>
        <w:shd w:val="clear" w:color="A9D08E" w:fill="A9D08E"/>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A9D08E" w:fill="A9D08E"/>
      </w:tcPr>
    </w:tblStylePr>
    <w:tblStylePr w:type="band2Horz">
      <w:tcPr>
        <w:tcBorders>
          <w:top w:val="single" w:color="FFFFFF" w:themeColor="light1" w:sz="4" w:space="0"/>
          <w:bottom w:val="single" w:color="FFFFFF" w:themeColor="light1" w:sz="4" w:space="0"/>
        </w:tcBorders>
        <w:shd w:val="clear" w:color="A9D08E" w:fill="A9D08E"/>
      </w:tcPr>
    </w:tblStylePr>
    <w:tblStylePr w:type="neCell"/>
    <w:tblStylePr w:type="nwCell"/>
    <w:tblStylePr w:type="seCell"/>
    <w:tblStylePr w:type="swCell"/>
  </w:style>
  <w:style w:type="table" w:customStyle="1" w:styleId="127">
    <w:name w:val="List Table 6 Colorful"/>
    <w:basedOn w:val="3"/>
    <w:qFormat/>
    <w:uiPriority w:val="99"/>
    <w:pPr>
      <w:spacing w:after="0" w:line="240" w:lineRule="auto"/>
    </w:pPr>
    <w:tblPr>
      <w:tblBorders>
        <w:top w:val="single" w:color="7E7E7E" w:themeColor="text1" w:themeTint="80" w:sz="4" w:space="0"/>
        <w:bottom w:val="single" w:color="7E7E7E" w:themeColor="text1" w:themeTint="80" w:sz="4" w:space="0"/>
      </w:tblBorders>
    </w:tblPr>
    <w:tblStylePr w:type="firstRow">
      <w:rPr>
        <w:b/>
        <w:color w:val="000000" w:themeColor="text1"/>
        <w14:textFill>
          <w14:solidFill>
            <w14:schemeClr w14:val="tx1"/>
          </w14:solidFill>
        </w14:textFill>
      </w:rPr>
      <w:tcPr>
        <w:tcBorders>
          <w:bottom w:val="single" w:color="7E7E7E" w:themeColor="text1" w:themeTint="80" w:sz="4" w:space="0"/>
        </w:tcBorders>
      </w:tcPr>
    </w:tblStylePr>
    <w:tblStylePr w:type="lastRow">
      <w:rPr>
        <w:b/>
        <w:color w:val="000000" w:themeColor="text1"/>
        <w14:textFill>
          <w14:solidFill>
            <w14:schemeClr w14:val="tx1"/>
          </w14:solidFill>
        </w14:textFill>
      </w:rPr>
      <w:tcPr>
        <w:tcBorders>
          <w:top w:val="single" w:color="7E7E7E" w:themeColor="text1" w:themeTint="80" w:sz="4" w:space="0"/>
        </w:tcBorders>
      </w:tcPr>
    </w:tblStylePr>
    <w:tblStylePr w:type="firstCol">
      <w:rPr>
        <w:b/>
        <w:color w:val="000000" w:themeColor="text1"/>
        <w14:textFill>
          <w14:solidFill>
            <w14:schemeClr w14:val="tx1"/>
          </w14:solidFill>
        </w14:textFill>
      </w:rPr>
    </w:tblStylePr>
    <w:tblStylePr w:type="lastCol">
      <w:rPr>
        <w:b/>
        <w:color w:val="000000" w:themeColor="text1"/>
        <w14:textFill>
          <w14:solidFill>
            <w14:schemeClr w14:val="tx1"/>
          </w14:solidFill>
        </w14:textFill>
      </w:rPr>
    </w:tblStylePr>
    <w:tblStylePr w:type="band1Vert">
      <w:tcPr>
        <w:shd w:val="clear" w:color="BEBEBE" w:fill="BEBEBE"/>
      </w:tcPr>
    </w:tblStylePr>
    <w:tblStylePr w:type="band2Vert"/>
    <w:tblStylePr w:type="band1Horz">
      <w:rPr>
        <w:rFonts w:ascii="Arial" w:hAnsi="Arial"/>
        <w:color w:val="000000" w:themeColor="text1"/>
        <w:sz w:val="22"/>
        <w14:textFill>
          <w14:solidFill>
            <w14:schemeClr w14:val="tx1"/>
          </w14:solidFill>
        </w14:textFill>
      </w:rPr>
      <w:tcPr>
        <w:shd w:val="clear" w:color="BEBEBE" w:fill="BEBEBE"/>
      </w:tcPr>
    </w:tblStylePr>
    <w:tblStylePr w:type="band2Horz">
      <w:rPr>
        <w:rFonts w:ascii="Arial" w:hAnsi="Arial"/>
        <w:color w:val="000000" w:themeColor="text1"/>
        <w:sz w:val="22"/>
        <w14:textFill>
          <w14:solidFill>
            <w14:schemeClr w14:val="tx1"/>
          </w14:solidFill>
        </w14:textFill>
      </w:rPr>
    </w:tblStylePr>
    <w:tblStylePr w:type="neCell"/>
    <w:tblStylePr w:type="nwCell"/>
    <w:tblStylePr w:type="seCell"/>
    <w:tblStylePr w:type="swCell"/>
  </w:style>
  <w:style w:type="table" w:customStyle="1" w:styleId="128">
    <w:name w:val="List Table 6 Colorful - Accent 1"/>
    <w:basedOn w:val="3"/>
    <w:qFormat/>
    <w:uiPriority w:val="99"/>
    <w:pPr>
      <w:spacing w:after="0" w:line="240" w:lineRule="auto"/>
    </w:pPr>
    <w:tblPr>
      <w:tblBorders>
        <w:top w:val="single" w:color="5B9BD5" w:themeColor="accent1" w:sz="4" w:space="0"/>
        <w:bottom w:val="single" w:color="5B9BD5" w:themeColor="accent1" w:sz="4" w:space="0"/>
      </w:tblBorders>
    </w:tblPr>
    <w:tblStylePr w:type="firstRow">
      <w:rPr>
        <w:b/>
        <w:color w:val="245B8C" w:themeColor="accent1" w:themeShade="94"/>
      </w:rPr>
      <w:tcPr>
        <w:tcBorders>
          <w:bottom w:val="single" w:color="5B9BD5" w:themeColor="accent1" w:sz="4" w:space="0"/>
        </w:tcBorders>
      </w:tcPr>
    </w:tblStylePr>
    <w:tblStylePr w:type="lastRow">
      <w:rPr>
        <w:b/>
        <w:color w:val="245B8C" w:themeColor="accent1" w:themeShade="94"/>
      </w:rPr>
      <w:tcPr>
        <w:tcBorders>
          <w:top w:val="single" w:color="5B9BD5" w:themeColor="accent1" w:sz="4" w:space="0"/>
        </w:tcBorders>
      </w:tcPr>
    </w:tblStylePr>
    <w:tblStylePr w:type="firstCol">
      <w:rPr>
        <w:b/>
        <w:color w:val="245B8C" w:themeColor="accent1" w:themeShade="94"/>
      </w:rPr>
    </w:tblStylePr>
    <w:tblStylePr w:type="lastCol">
      <w:rPr>
        <w:b/>
        <w:color w:val="245B8C" w:themeColor="accent1" w:themeShade="94"/>
      </w:rPr>
    </w:tblStylePr>
    <w:tblStylePr w:type="band1Vert">
      <w:tcPr>
        <w:shd w:val="clear" w:color="D5E5F4" w:fill="D5E5F4"/>
      </w:tcPr>
    </w:tblStylePr>
    <w:tblStylePr w:type="band2Vert"/>
    <w:tblStylePr w:type="band1Horz">
      <w:rPr>
        <w:rFonts w:ascii="Arial" w:hAnsi="Arial"/>
        <w:color w:val="245B8C" w:themeColor="accent1" w:themeShade="94"/>
        <w:sz w:val="22"/>
      </w:rPr>
      <w:tcPr>
        <w:shd w:val="clear" w:color="D5E5F4" w:fill="D5E5F4"/>
      </w:tcPr>
    </w:tblStylePr>
    <w:tblStylePr w:type="band2Horz">
      <w:rPr>
        <w:rFonts w:ascii="Arial" w:hAnsi="Arial"/>
        <w:color w:val="245B8C" w:themeColor="accent1" w:themeShade="94"/>
        <w:sz w:val="22"/>
      </w:rPr>
    </w:tblStylePr>
    <w:tblStylePr w:type="neCell"/>
    <w:tblStylePr w:type="nwCell"/>
    <w:tblStylePr w:type="seCell"/>
    <w:tblStylePr w:type="swCell"/>
  </w:style>
  <w:style w:type="table" w:customStyle="1" w:styleId="129">
    <w:name w:val="List Table 6 Colorful - Accent 2"/>
    <w:basedOn w:val="3"/>
    <w:qFormat/>
    <w:uiPriority w:val="99"/>
    <w:pPr>
      <w:spacing w:after="0" w:line="240" w:lineRule="auto"/>
    </w:pPr>
    <w:tblPr>
      <w:tblBorders>
        <w:top w:val="single" w:color="F4B285" w:themeColor="accent2" w:themeTint="97" w:sz="4" w:space="0"/>
        <w:bottom w:val="single" w:color="F4B285" w:themeColor="accent2" w:themeTint="97" w:sz="4" w:space="0"/>
      </w:tblBorders>
    </w:tblPr>
    <w:tblStylePr w:type="firstRow">
      <w:rPr>
        <w:b/>
        <w:color w:val="F4B285" w:themeColor="accent2" w:themeTint="96"/>
        <w14:textFill>
          <w14:solidFill>
            <w14:schemeClr w14:val="accent2">
              <w14:lumMod w14:val="59000"/>
              <w14:lumOff w14:val="41000"/>
            </w14:schemeClr>
          </w14:solidFill>
        </w14:textFill>
      </w:rPr>
      <w:tcPr>
        <w:tcBorders>
          <w:bottom w:val="single" w:color="F4B285" w:themeColor="accent2" w:themeTint="97" w:sz="4" w:space="0"/>
        </w:tcBorders>
      </w:tcPr>
    </w:tblStylePr>
    <w:tblStylePr w:type="lastRow">
      <w:rPr>
        <w:b/>
        <w:color w:val="F4B285" w:themeColor="accent2" w:themeTint="96"/>
        <w14:textFill>
          <w14:solidFill>
            <w14:schemeClr w14:val="accent2">
              <w14:lumMod w14:val="59000"/>
              <w14:lumOff w14:val="41000"/>
            </w14:schemeClr>
          </w14:solidFill>
        </w14:textFill>
      </w:rPr>
      <w:tcPr>
        <w:tcBorders>
          <w:top w:val="single" w:color="F4B285" w:themeColor="accent2" w:themeTint="97" w:sz="4" w:space="0"/>
        </w:tcBorders>
      </w:tcPr>
    </w:tblStylePr>
    <w:tblStylePr w:type="firstCol">
      <w:rPr>
        <w:b/>
        <w:color w:val="F4B285" w:themeColor="accent2" w:themeTint="96"/>
        <w14:textFill>
          <w14:solidFill>
            <w14:schemeClr w14:val="accent2">
              <w14:lumMod w14:val="59000"/>
              <w14:lumOff w14:val="41000"/>
            </w14:schemeClr>
          </w14:solidFill>
        </w14:textFill>
      </w:rPr>
    </w:tblStylePr>
    <w:tblStylePr w:type="lastCol">
      <w:rPr>
        <w:b/>
        <w:color w:val="F4B285" w:themeColor="accent2" w:themeTint="96"/>
        <w14:textFill>
          <w14:solidFill>
            <w14:schemeClr w14:val="accent2">
              <w14:lumMod w14:val="59000"/>
              <w14:lumOff w14:val="41000"/>
            </w14:schemeClr>
          </w14:solidFill>
        </w14:textFill>
      </w:rPr>
    </w:tblStylePr>
    <w:tblStylePr w:type="band1Vert">
      <w:tcPr>
        <w:shd w:val="clear" w:color="FADECB" w:fill="FADECB"/>
      </w:tcPr>
    </w:tblStylePr>
    <w:tblStylePr w:type="band2Vert"/>
    <w:tblStylePr w:type="band1Horz">
      <w:rPr>
        <w:rFonts w:ascii="Arial" w:hAnsi="Arial"/>
        <w:color w:val="F4B285" w:themeColor="accent2" w:themeTint="96"/>
        <w:sz w:val="22"/>
        <w14:textFill>
          <w14:solidFill>
            <w14:schemeClr w14:val="accent2">
              <w14:lumMod w14:val="59000"/>
              <w14:lumOff w14:val="41000"/>
            </w14:schemeClr>
          </w14:solidFill>
        </w14:textFill>
      </w:rPr>
      <w:tcPr>
        <w:shd w:val="clear" w:color="FADECB" w:fill="FADECB"/>
      </w:tcPr>
    </w:tblStylePr>
    <w:tblStylePr w:type="band2Horz">
      <w:rPr>
        <w:rFonts w:ascii="Arial" w:hAnsi="Arial"/>
        <w:color w:val="F4B285" w:themeColor="accent2" w:themeTint="96"/>
        <w:sz w:val="22"/>
        <w14:textFill>
          <w14:solidFill>
            <w14:schemeClr w14:val="accent2">
              <w14:lumMod w14:val="59000"/>
              <w14:lumOff w14:val="41000"/>
            </w14:schemeClr>
          </w14:solidFill>
        </w14:textFill>
      </w:rPr>
    </w:tblStylePr>
    <w:tblStylePr w:type="neCell"/>
    <w:tblStylePr w:type="nwCell"/>
    <w:tblStylePr w:type="seCell"/>
    <w:tblStylePr w:type="swCell"/>
  </w:style>
  <w:style w:type="table" w:customStyle="1" w:styleId="130">
    <w:name w:val="List Table 6 Colorful - Accent 3"/>
    <w:basedOn w:val="3"/>
    <w:qFormat/>
    <w:uiPriority w:val="99"/>
    <w:pPr>
      <w:spacing w:after="0" w:line="240" w:lineRule="auto"/>
    </w:pPr>
    <w:tblPr>
      <w:tblBorders>
        <w:top w:val="single" w:color="C9C9C9" w:themeColor="accent3" w:themeTint="98" w:sz="4" w:space="0"/>
        <w:bottom w:val="single" w:color="C9C9C9" w:themeColor="accent3" w:themeTint="98" w:sz="4" w:space="0"/>
      </w:tblBorders>
    </w:tblPr>
    <w:tblStylePr w:type="firstRow">
      <w:rPr>
        <w:b/>
        <w:color w:val="C9C9C9" w:themeColor="accent3" w:themeTint="99"/>
        <w14:textFill>
          <w14:solidFill>
            <w14:schemeClr w14:val="accent3">
              <w14:lumMod w14:val="60000"/>
              <w14:lumOff w14:val="40000"/>
            </w14:schemeClr>
          </w14:solidFill>
        </w14:textFill>
      </w:rPr>
      <w:tcPr>
        <w:tcBorders>
          <w:bottom w:val="single" w:color="C9C9C9" w:themeColor="accent3" w:themeTint="98" w:sz="4" w:space="0"/>
        </w:tcBorders>
      </w:tcPr>
    </w:tblStylePr>
    <w:tblStylePr w:type="lastRow">
      <w:rPr>
        <w:b/>
        <w:color w:val="C9C9C9" w:themeColor="accent3" w:themeTint="99"/>
        <w14:textFill>
          <w14:solidFill>
            <w14:schemeClr w14:val="accent3">
              <w14:lumMod w14:val="60000"/>
              <w14:lumOff w14:val="40000"/>
            </w14:schemeClr>
          </w14:solidFill>
        </w14:textFill>
      </w:rPr>
      <w:tcPr>
        <w:tcBorders>
          <w:top w:val="single" w:color="C9C9C9" w:themeColor="accent3" w:themeTint="98" w:sz="4" w:space="0"/>
        </w:tcBorders>
      </w:tcPr>
    </w:tblStylePr>
    <w:tblStylePr w:type="firstCol">
      <w:rPr>
        <w:b/>
        <w:color w:val="C9C9C9" w:themeColor="accent3" w:themeTint="99"/>
        <w14:textFill>
          <w14:solidFill>
            <w14:schemeClr w14:val="accent3">
              <w14:lumMod w14:val="60000"/>
              <w14:lumOff w14:val="40000"/>
            </w14:schemeClr>
          </w14:solidFill>
        </w14:textFill>
      </w:rPr>
    </w:tblStylePr>
    <w:tblStylePr w:type="lastCol">
      <w:rPr>
        <w:b/>
        <w:color w:val="C9C9C9" w:themeColor="accent3" w:themeTint="99"/>
        <w14:textFill>
          <w14:solidFill>
            <w14:schemeClr w14:val="accent3">
              <w14:lumMod w14:val="60000"/>
              <w14:lumOff w14:val="40000"/>
            </w14:schemeClr>
          </w14:solidFill>
        </w14:textFill>
      </w:rPr>
    </w:tblStylePr>
    <w:tblStylePr w:type="band1Vert">
      <w:tcPr>
        <w:shd w:val="clear" w:color="E8E8E8" w:fill="E8E8E8"/>
      </w:tcPr>
    </w:tblStylePr>
    <w:tblStylePr w:type="band2Vert"/>
    <w:tblStylePr w:type="band1Horz">
      <w:rPr>
        <w:rFonts w:ascii="Arial" w:hAnsi="Arial"/>
        <w:color w:val="C9C9C9" w:themeColor="accent3" w:themeTint="99"/>
        <w:sz w:val="22"/>
        <w14:textFill>
          <w14:solidFill>
            <w14:schemeClr w14:val="accent3">
              <w14:lumMod w14:val="60000"/>
              <w14:lumOff w14:val="40000"/>
            </w14:schemeClr>
          </w14:solidFill>
        </w14:textFill>
      </w:rPr>
      <w:tcPr>
        <w:shd w:val="clear" w:color="E8E8E8" w:fill="E8E8E8"/>
      </w:tcPr>
    </w:tblStylePr>
    <w:tblStylePr w:type="band2Horz">
      <w:rPr>
        <w:rFonts w:ascii="Arial" w:hAnsi="Arial"/>
        <w:color w:val="C9C9C9" w:themeColor="accent3" w:themeTint="99"/>
        <w:sz w:val="22"/>
        <w14:textFill>
          <w14:solidFill>
            <w14:schemeClr w14:val="accent3">
              <w14:lumMod w14:val="60000"/>
              <w14:lumOff w14:val="40000"/>
            </w14:schemeClr>
          </w14:solidFill>
        </w14:textFill>
      </w:rPr>
    </w:tblStylePr>
    <w:tblStylePr w:type="neCell"/>
    <w:tblStylePr w:type="nwCell"/>
    <w:tblStylePr w:type="seCell"/>
    <w:tblStylePr w:type="swCell"/>
  </w:style>
  <w:style w:type="table" w:customStyle="1" w:styleId="131">
    <w:name w:val="List Table 6 Colorful - Accent 4"/>
    <w:basedOn w:val="3"/>
    <w:qFormat/>
    <w:uiPriority w:val="99"/>
    <w:pPr>
      <w:spacing w:after="0" w:line="240" w:lineRule="auto"/>
    </w:pPr>
    <w:tblPr>
      <w:tblBorders>
        <w:top w:val="single" w:color="FFD864" w:themeColor="accent4" w:themeTint="9A" w:sz="4" w:space="0"/>
        <w:bottom w:val="single" w:color="FFD864" w:themeColor="accent4" w:themeTint="9A" w:sz="4" w:space="0"/>
      </w:tblBorders>
    </w:tblPr>
    <w:tblStylePr w:type="firstRow">
      <w:rPr>
        <w:b/>
        <w:color w:val="FFD966" w:themeColor="accent4" w:themeTint="99"/>
        <w14:textFill>
          <w14:solidFill>
            <w14:schemeClr w14:val="accent4">
              <w14:lumMod w14:val="60000"/>
              <w14:lumOff w14:val="40000"/>
            </w14:schemeClr>
          </w14:solidFill>
        </w14:textFill>
      </w:rPr>
      <w:tcPr>
        <w:tcBorders>
          <w:bottom w:val="single" w:color="FFD864" w:themeColor="accent4" w:themeTint="9A" w:sz="4" w:space="0"/>
        </w:tcBorders>
      </w:tcPr>
    </w:tblStylePr>
    <w:tblStylePr w:type="lastRow">
      <w:rPr>
        <w:b/>
        <w:color w:val="FFD966" w:themeColor="accent4" w:themeTint="99"/>
        <w14:textFill>
          <w14:solidFill>
            <w14:schemeClr w14:val="accent4">
              <w14:lumMod w14:val="60000"/>
              <w14:lumOff w14:val="40000"/>
            </w14:schemeClr>
          </w14:solidFill>
        </w14:textFill>
      </w:rPr>
      <w:tcPr>
        <w:tcBorders>
          <w:top w:val="single" w:color="FFD864" w:themeColor="accent4" w:themeTint="9A" w:sz="4" w:space="0"/>
        </w:tcBorders>
      </w:tcPr>
    </w:tblStylePr>
    <w:tblStylePr w:type="firstCol">
      <w:rPr>
        <w:b/>
        <w:color w:val="FFD966" w:themeColor="accent4" w:themeTint="99"/>
        <w14:textFill>
          <w14:solidFill>
            <w14:schemeClr w14:val="accent4">
              <w14:lumMod w14:val="60000"/>
              <w14:lumOff w14:val="40000"/>
            </w14:schemeClr>
          </w14:solidFill>
        </w14:textFill>
      </w:rPr>
    </w:tblStylePr>
    <w:tblStylePr w:type="lastCol">
      <w:rPr>
        <w:b/>
        <w:color w:val="FFD966" w:themeColor="accent4" w:themeTint="99"/>
        <w14:textFill>
          <w14:solidFill>
            <w14:schemeClr w14:val="accent4">
              <w14:lumMod w14:val="60000"/>
              <w14:lumOff w14:val="40000"/>
            </w14:schemeClr>
          </w14:solidFill>
        </w14:textFill>
      </w:rPr>
    </w:tblStylePr>
    <w:tblStylePr w:type="band1Vert">
      <w:tcPr>
        <w:shd w:val="clear" w:color="FFEFBE" w:fill="FFEFBE"/>
      </w:tcPr>
    </w:tblStylePr>
    <w:tblStylePr w:type="band2Vert"/>
    <w:tblStylePr w:type="band1Horz">
      <w:rPr>
        <w:rFonts w:ascii="Arial" w:hAnsi="Arial"/>
        <w:color w:val="FFD966" w:themeColor="accent4" w:themeTint="99"/>
        <w:sz w:val="22"/>
        <w14:textFill>
          <w14:solidFill>
            <w14:schemeClr w14:val="accent4">
              <w14:lumMod w14:val="60000"/>
              <w14:lumOff w14:val="40000"/>
            </w14:schemeClr>
          </w14:solidFill>
        </w14:textFill>
      </w:rPr>
      <w:tcPr>
        <w:shd w:val="clear" w:color="FFEFBE" w:fill="FFEFBE"/>
      </w:tcPr>
    </w:tblStylePr>
    <w:tblStylePr w:type="band2Horz">
      <w:rPr>
        <w:rFonts w:ascii="Arial" w:hAnsi="Arial"/>
        <w:color w:val="FFD966" w:themeColor="accent4" w:themeTint="99"/>
        <w:sz w:val="22"/>
        <w14:textFill>
          <w14:solidFill>
            <w14:schemeClr w14:val="accent4">
              <w14:lumMod w14:val="60000"/>
              <w14:lumOff w14:val="40000"/>
            </w14:schemeClr>
          </w14:solidFill>
        </w14:textFill>
      </w:rPr>
    </w:tblStylePr>
    <w:tblStylePr w:type="neCell"/>
    <w:tblStylePr w:type="nwCell"/>
    <w:tblStylePr w:type="seCell"/>
    <w:tblStylePr w:type="swCell"/>
  </w:style>
  <w:style w:type="table" w:customStyle="1" w:styleId="132">
    <w:name w:val="List Table 6 Colorful - Accent 5"/>
    <w:basedOn w:val="3"/>
    <w:qFormat/>
    <w:uiPriority w:val="99"/>
    <w:pPr>
      <w:spacing w:after="0" w:line="240" w:lineRule="auto"/>
    </w:pPr>
    <w:tblPr>
      <w:tblBorders>
        <w:top w:val="single" w:color="8EA9DB" w:themeColor="accent5" w:themeTint="9A" w:sz="4" w:space="0"/>
        <w:bottom w:val="single" w:color="8EA9DB" w:themeColor="accent5" w:themeTint="9A" w:sz="4" w:space="0"/>
      </w:tblBorders>
    </w:tblPr>
    <w:tblStylePr w:type="firstRow">
      <w:rPr>
        <w:b/>
        <w:color w:val="8FAADC" w:themeColor="accent5" w:themeTint="99"/>
        <w14:textFill>
          <w14:solidFill>
            <w14:schemeClr w14:val="accent5">
              <w14:lumMod w14:val="60000"/>
              <w14:lumOff w14:val="40000"/>
            </w14:schemeClr>
          </w14:solidFill>
        </w14:textFill>
      </w:rPr>
      <w:tcPr>
        <w:tcBorders>
          <w:bottom w:val="single" w:color="8EA9DB" w:themeColor="accent5" w:themeTint="9A" w:sz="4" w:space="0"/>
        </w:tcBorders>
      </w:tcPr>
    </w:tblStylePr>
    <w:tblStylePr w:type="lastRow">
      <w:rPr>
        <w:b/>
        <w:color w:val="8FAADC" w:themeColor="accent5" w:themeTint="99"/>
        <w14:textFill>
          <w14:solidFill>
            <w14:schemeClr w14:val="accent5">
              <w14:lumMod w14:val="60000"/>
              <w14:lumOff w14:val="40000"/>
            </w14:schemeClr>
          </w14:solidFill>
        </w14:textFill>
      </w:rPr>
      <w:tcPr>
        <w:tcBorders>
          <w:top w:val="single" w:color="8EA9DB" w:themeColor="accent5" w:themeTint="9A" w:sz="4" w:space="0"/>
        </w:tcBorders>
      </w:tcPr>
    </w:tblStylePr>
    <w:tblStylePr w:type="firstCol">
      <w:rPr>
        <w:b/>
        <w:color w:val="8FAADC" w:themeColor="accent5" w:themeTint="99"/>
        <w14:textFill>
          <w14:solidFill>
            <w14:schemeClr w14:val="accent5">
              <w14:lumMod w14:val="60000"/>
              <w14:lumOff w14:val="40000"/>
            </w14:schemeClr>
          </w14:solidFill>
        </w14:textFill>
      </w:rPr>
    </w:tblStylePr>
    <w:tblStylePr w:type="lastCol">
      <w:rPr>
        <w:b/>
        <w:color w:val="8FAADC" w:themeColor="accent5" w:themeTint="99"/>
        <w14:textFill>
          <w14:solidFill>
            <w14:schemeClr w14:val="accent5">
              <w14:lumMod w14:val="60000"/>
              <w14:lumOff w14:val="40000"/>
            </w14:schemeClr>
          </w14:solidFill>
        </w14:textFill>
      </w:rPr>
    </w:tblStylePr>
    <w:tblStylePr w:type="band1Vert">
      <w:tcPr>
        <w:shd w:val="clear" w:color="D0DBF0" w:fill="D0DBF0"/>
      </w:tcPr>
    </w:tblStylePr>
    <w:tblStylePr w:type="band2Vert"/>
    <w:tblStylePr w:type="band1Horz">
      <w:rPr>
        <w:rFonts w:ascii="Arial" w:hAnsi="Arial"/>
        <w:color w:val="8FAADC" w:themeColor="accent5" w:themeTint="99"/>
        <w:sz w:val="22"/>
        <w14:textFill>
          <w14:solidFill>
            <w14:schemeClr w14:val="accent5">
              <w14:lumMod w14:val="60000"/>
              <w14:lumOff w14:val="40000"/>
            </w14:schemeClr>
          </w14:solidFill>
        </w14:textFill>
      </w:rPr>
      <w:tcPr>
        <w:shd w:val="clear" w:color="D0DBF0" w:fill="D0DBF0"/>
      </w:tcPr>
    </w:tblStylePr>
    <w:tblStylePr w:type="band2Horz">
      <w:rPr>
        <w:rFonts w:ascii="Arial" w:hAnsi="Arial"/>
        <w:color w:val="8FAADC" w:themeColor="accent5" w:themeTint="99"/>
        <w:sz w:val="22"/>
        <w14:textFill>
          <w14:solidFill>
            <w14:schemeClr w14:val="accent5">
              <w14:lumMod w14:val="60000"/>
              <w14:lumOff w14:val="40000"/>
            </w14:schemeClr>
          </w14:solidFill>
        </w14:textFill>
      </w:rPr>
    </w:tblStylePr>
    <w:tblStylePr w:type="neCell"/>
    <w:tblStylePr w:type="nwCell"/>
    <w:tblStylePr w:type="seCell"/>
    <w:tblStylePr w:type="swCell"/>
  </w:style>
  <w:style w:type="table" w:customStyle="1" w:styleId="133">
    <w:name w:val="List Table 6 Colorful - Accent 6"/>
    <w:basedOn w:val="3"/>
    <w:qFormat/>
    <w:uiPriority w:val="99"/>
    <w:pPr>
      <w:spacing w:after="0" w:line="240" w:lineRule="auto"/>
    </w:pPr>
    <w:tblPr>
      <w:tblBorders>
        <w:top w:val="single" w:color="A9D08E" w:themeColor="accent6" w:themeTint="98" w:sz="4" w:space="0"/>
        <w:bottom w:val="single" w:color="A9D08E" w:themeColor="accent6" w:themeTint="98" w:sz="4" w:space="0"/>
      </w:tblBorders>
    </w:tblPr>
    <w:tblStylePr w:type="firstRow">
      <w:rPr>
        <w:b/>
        <w:color w:val="A9D18E" w:themeColor="accent6" w:themeTint="99"/>
        <w14:textFill>
          <w14:solidFill>
            <w14:schemeClr w14:val="accent6">
              <w14:lumMod w14:val="60000"/>
              <w14:lumOff w14:val="40000"/>
            </w14:schemeClr>
          </w14:solidFill>
        </w14:textFill>
      </w:rPr>
      <w:tcPr>
        <w:tcBorders>
          <w:bottom w:val="single" w:color="A9D08E" w:themeColor="accent6" w:themeTint="98" w:sz="4" w:space="0"/>
        </w:tcBorders>
      </w:tcPr>
    </w:tblStylePr>
    <w:tblStylePr w:type="lastRow">
      <w:rPr>
        <w:b/>
        <w:color w:val="A9D18E" w:themeColor="accent6" w:themeTint="99"/>
        <w14:textFill>
          <w14:solidFill>
            <w14:schemeClr w14:val="accent6">
              <w14:lumMod w14:val="60000"/>
              <w14:lumOff w14:val="40000"/>
            </w14:schemeClr>
          </w14:solidFill>
        </w14:textFill>
      </w:rPr>
      <w:tcPr>
        <w:tcBorders>
          <w:top w:val="single" w:color="A9D08E" w:themeColor="accent6" w:themeTint="98" w:sz="4" w:space="0"/>
        </w:tcBorders>
      </w:tcPr>
    </w:tblStylePr>
    <w:tblStylePr w:type="firstCol">
      <w:rPr>
        <w:b/>
        <w:color w:val="A9D18E" w:themeColor="accent6" w:themeTint="99"/>
        <w14:textFill>
          <w14:solidFill>
            <w14:schemeClr w14:val="accent6">
              <w14:lumMod w14:val="60000"/>
              <w14:lumOff w14:val="40000"/>
            </w14:schemeClr>
          </w14:solidFill>
        </w14:textFill>
      </w:rPr>
    </w:tblStylePr>
    <w:tblStylePr w:type="lastCol">
      <w:rPr>
        <w:b/>
        <w:color w:val="A9D18E" w:themeColor="accent6" w:themeTint="99"/>
        <w14:textFill>
          <w14:solidFill>
            <w14:schemeClr w14:val="accent6">
              <w14:lumMod w14:val="60000"/>
              <w14:lumOff w14:val="40000"/>
            </w14:schemeClr>
          </w14:solidFill>
        </w14:textFill>
      </w:rPr>
    </w:tblStylePr>
    <w:tblStylePr w:type="band1Vert">
      <w:tcPr>
        <w:shd w:val="clear" w:color="DAEBCF" w:fill="DAEBCF"/>
      </w:tcPr>
    </w:tblStylePr>
    <w:tblStylePr w:type="band2Vert"/>
    <w:tblStylePr w:type="band1Horz">
      <w:rPr>
        <w:rFonts w:ascii="Arial" w:hAnsi="Arial"/>
        <w:color w:val="A9D18E" w:themeColor="accent6" w:themeTint="99"/>
        <w:sz w:val="22"/>
        <w14:textFill>
          <w14:solidFill>
            <w14:schemeClr w14:val="accent6">
              <w14:lumMod w14:val="60000"/>
              <w14:lumOff w14:val="40000"/>
            </w14:schemeClr>
          </w14:solidFill>
        </w14:textFill>
      </w:rPr>
      <w:tcPr>
        <w:shd w:val="clear" w:color="DAEBCF" w:fill="DAEBCF"/>
      </w:tcPr>
    </w:tblStylePr>
    <w:tblStylePr w:type="band2Horz">
      <w:rPr>
        <w:rFonts w:ascii="Arial" w:hAnsi="Arial"/>
        <w:color w:val="A9D18E" w:themeColor="accent6" w:themeTint="99"/>
        <w:sz w:val="22"/>
        <w14:textFill>
          <w14:solidFill>
            <w14:schemeClr w14:val="accent6">
              <w14:lumMod w14:val="60000"/>
              <w14:lumOff w14:val="40000"/>
            </w14:schemeClr>
          </w14:solidFill>
        </w14:textFill>
      </w:rPr>
    </w:tblStylePr>
    <w:tblStylePr w:type="neCell"/>
    <w:tblStylePr w:type="nwCell"/>
    <w:tblStylePr w:type="seCell"/>
    <w:tblStylePr w:type="swCell"/>
  </w:style>
  <w:style w:type="table" w:customStyle="1" w:styleId="134">
    <w:name w:val="List Table 7 Colorful"/>
    <w:basedOn w:val="3"/>
    <w:qFormat/>
    <w:uiPriority w:val="99"/>
    <w:pPr>
      <w:spacing w:after="0" w:line="240" w:lineRule="auto"/>
    </w:pPr>
    <w:tblPr>
      <w:tblBorders>
        <w:right w:val="single" w:color="7E7E7E" w:themeColor="text1" w:themeTint="80" w:sz="4" w:space="0"/>
      </w:tblBorders>
    </w:tblPr>
    <w:tblStylePr w:type="firstRow">
      <w:rPr>
        <w:rFonts w:ascii="Arial" w:hAnsi="Arial"/>
        <w:i/>
        <w:color w:val="808080" w:themeColor="text1" w:themeTint="80"/>
        <w:sz w:val="22"/>
        <w14:textFill>
          <w14:solidFill>
            <w14:schemeClr w14:val="tx1">
              <w14:lumMod w14:val="50000"/>
              <w14:lumOff w14:val="50000"/>
            </w14:schemeClr>
          </w14:solidFill>
        </w14:textFill>
      </w:rPr>
      <w:tcPr>
        <w:tcBorders>
          <w:top w:val="nil"/>
          <w:left w:val="nil"/>
          <w:bottom w:val="single" w:color="7E7E7E" w:themeColor="text1" w:themeTint="80" w:sz="4" w:space="0"/>
          <w:right w:val="nil"/>
        </w:tcBorders>
        <w:shd w:val="clear" w:color="FFFFFF" w:fill="FFFFFF"/>
      </w:tcPr>
    </w:tblStylePr>
    <w:tblStylePr w:type="lastRow">
      <w:rPr>
        <w:rFonts w:ascii="Arial" w:hAnsi="Arial"/>
        <w:i/>
        <w:color w:val="808080" w:themeColor="text1" w:themeTint="80"/>
        <w:sz w:val="22"/>
        <w14:textFill>
          <w14:solidFill>
            <w14:schemeClr w14:val="tx1">
              <w14:lumMod w14:val="50000"/>
              <w14:lumOff w14:val="50000"/>
            </w14:schemeClr>
          </w14:solidFill>
        </w14:textFill>
      </w:rPr>
      <w:tcPr>
        <w:tcBorders>
          <w:top w:val="single" w:color="7E7E7E" w:themeColor="text1" w:themeTint="80" w:sz="4" w:space="0"/>
          <w:left w:val="nil"/>
          <w:bottom w:val="nil"/>
          <w:right w:val="nil"/>
        </w:tcBorders>
        <w:shd w:val="clear" w:color="FFFFFF" w:fill="FFFFFF"/>
      </w:tcPr>
    </w:tblStylePr>
    <w:tblStylePr w:type="firstCol">
      <w:pPr>
        <w:jc w:val="right"/>
      </w:pPr>
      <w:rPr>
        <w:rFonts w:ascii="Arial" w:hAnsi="Arial"/>
        <w:i/>
        <w:color w:val="808080" w:themeColor="text1" w:themeTint="80"/>
        <w:sz w:val="22"/>
        <w14:textFill>
          <w14:solidFill>
            <w14:schemeClr w14:val="tx1">
              <w14:lumMod w14:val="50000"/>
              <w14:lumOff w14:val="50000"/>
            </w14:schemeClr>
          </w14:solidFill>
        </w14:textFill>
      </w:rPr>
      <w:tcPr>
        <w:tcBorders>
          <w:top w:val="nil"/>
          <w:left w:val="nil"/>
          <w:bottom w:val="nil"/>
          <w:right w:val="single" w:color="7E7E7E" w:themeColor="text1" w:themeTint="80" w:sz="4" w:space="0"/>
        </w:tcBorders>
        <w:shd w:val="clear" w:color="FFFFFF" w:fill="auto"/>
      </w:tcPr>
    </w:tblStylePr>
    <w:tblStylePr w:type="lastCol">
      <w:rPr>
        <w:rFonts w:ascii="Arial" w:hAnsi="Arial"/>
        <w:i/>
        <w:color w:val="808080" w:themeColor="text1" w:themeTint="80"/>
        <w:sz w:val="22"/>
        <w14:textFill>
          <w14:solidFill>
            <w14:schemeClr w14:val="tx1">
              <w14:lumMod w14:val="50000"/>
              <w14:lumOff w14:val="50000"/>
            </w14:schemeClr>
          </w14:solidFill>
        </w14:textFill>
      </w:rPr>
      <w:tcPr>
        <w:tcBorders>
          <w:top w:val="nil"/>
          <w:left w:val="single" w:color="7E7E7E" w:themeColor="text1" w:themeTint="80" w:sz="4" w:space="0"/>
          <w:bottom w:val="nil"/>
          <w:right w:val="nil"/>
        </w:tcBorders>
        <w:shd w:val="clear" w:color="FFFFFF" w:fill="auto"/>
      </w:tcPr>
    </w:tblStylePr>
    <w:tblStylePr w:type="band1Vert">
      <w:tcPr>
        <w:shd w:val="clear" w:color="BEBEBE" w:fill="BEBEBE"/>
      </w:tcPr>
    </w:tblStylePr>
    <w:tblStylePr w:type="band2Vert"/>
    <w:tblStylePr w:type="band1Horz">
      <w:rPr>
        <w:rFonts w:ascii="Arial" w:hAnsi="Arial"/>
        <w:color w:val="808080" w:themeColor="text1" w:themeTint="80"/>
        <w:sz w:val="22"/>
        <w14:textFill>
          <w14:solidFill>
            <w14:schemeClr w14:val="tx1">
              <w14:lumMod w14:val="50000"/>
              <w14:lumOff w14:val="50000"/>
            </w14:schemeClr>
          </w14:solidFill>
        </w14:textFill>
      </w:rPr>
      <w:tcPr>
        <w:shd w:val="clear" w:color="BEBEBE" w:fill="BEBEBE"/>
      </w:tcPr>
    </w:tblStylePr>
    <w:tblStylePr w:type="band2Horz">
      <w:rPr>
        <w:rFonts w:ascii="Arial" w:hAnsi="Arial"/>
        <w:color w:val="808080" w:themeColor="text1" w:themeTint="80"/>
        <w:sz w:val="22"/>
        <w14:textFill>
          <w14:solidFill>
            <w14:schemeClr w14:val="tx1">
              <w14:lumMod w14:val="50000"/>
              <w14:lumOff w14:val="50000"/>
            </w14:schemeClr>
          </w14:solidFill>
        </w14:textFill>
      </w:rPr>
    </w:tblStylePr>
    <w:tblStylePr w:type="neCell"/>
    <w:tblStylePr w:type="nwCell"/>
    <w:tblStylePr w:type="seCell"/>
    <w:tblStylePr w:type="swCell"/>
  </w:style>
  <w:style w:type="table" w:customStyle="1" w:styleId="135">
    <w:name w:val="List Table 7 Colorful - Accent 1"/>
    <w:basedOn w:val="3"/>
    <w:qFormat/>
    <w:uiPriority w:val="99"/>
    <w:pPr>
      <w:spacing w:after="0" w:line="240" w:lineRule="auto"/>
    </w:pPr>
    <w:tblPr>
      <w:tblBorders>
        <w:right w:val="single" w:color="5B9BD5" w:themeColor="accent1" w:sz="4" w:space="0"/>
      </w:tblBorders>
    </w:tblPr>
    <w:tblStylePr w:type="firstRow">
      <w:rPr>
        <w:rFonts w:ascii="Arial" w:hAnsi="Arial"/>
        <w:i/>
        <w:color w:val="245B8C" w:themeColor="accent1" w:themeShade="94"/>
        <w:sz w:val="22"/>
      </w:rPr>
      <w:tcPr>
        <w:tcBorders>
          <w:top w:val="nil"/>
          <w:left w:val="nil"/>
          <w:bottom w:val="single" w:color="5B9BD5" w:themeColor="accent1" w:sz="4" w:space="0"/>
          <w:right w:val="nil"/>
        </w:tcBorders>
        <w:shd w:val="clear" w:color="FFFFFF" w:fill="FFFFFF"/>
      </w:tcPr>
    </w:tblStylePr>
    <w:tblStylePr w:type="lastRow">
      <w:rPr>
        <w:rFonts w:ascii="Arial" w:hAnsi="Arial"/>
        <w:i/>
        <w:color w:val="245B8C" w:themeColor="accent1" w:themeShade="94"/>
        <w:sz w:val="22"/>
      </w:rPr>
      <w:tcPr>
        <w:tcBorders>
          <w:top w:val="single" w:color="5B9BD5" w:themeColor="accent1" w:sz="4" w:space="0"/>
          <w:left w:val="nil"/>
          <w:bottom w:val="nil"/>
          <w:right w:val="nil"/>
        </w:tcBorders>
        <w:shd w:val="clear" w:color="FFFFFF" w:fill="FFFFFF"/>
      </w:tcPr>
    </w:tblStylePr>
    <w:tblStylePr w:type="firstCol">
      <w:pPr>
        <w:jc w:val="right"/>
      </w:pPr>
      <w:rPr>
        <w:rFonts w:ascii="Arial" w:hAnsi="Arial"/>
        <w:i/>
        <w:color w:val="245B8C" w:themeColor="accent1" w:themeShade="94"/>
        <w:sz w:val="22"/>
      </w:rPr>
      <w:tcPr>
        <w:tcBorders>
          <w:top w:val="nil"/>
          <w:left w:val="nil"/>
          <w:bottom w:val="nil"/>
          <w:right w:val="single" w:color="5B9BD5" w:themeColor="accent1" w:sz="4" w:space="0"/>
        </w:tcBorders>
        <w:shd w:val="clear" w:color="FFFFFF" w:fill="auto"/>
      </w:tcPr>
    </w:tblStylePr>
    <w:tblStylePr w:type="lastCol">
      <w:rPr>
        <w:rFonts w:ascii="Arial" w:hAnsi="Arial"/>
        <w:i/>
        <w:color w:val="245B8C" w:themeColor="accent1" w:themeShade="94"/>
        <w:sz w:val="22"/>
      </w:rPr>
      <w:tcPr>
        <w:tcBorders>
          <w:top w:val="nil"/>
          <w:left w:val="single" w:color="5B9BD5" w:themeColor="accent1" w:sz="4" w:space="0"/>
          <w:bottom w:val="nil"/>
          <w:right w:val="nil"/>
        </w:tcBorders>
        <w:shd w:val="clear" w:color="FFFFFF" w:fill="auto"/>
      </w:tcPr>
    </w:tblStylePr>
    <w:tblStylePr w:type="band1Vert">
      <w:tcPr>
        <w:shd w:val="clear" w:color="D5E5F4" w:fill="D5E5F4"/>
      </w:tcPr>
    </w:tblStylePr>
    <w:tblStylePr w:type="band2Vert"/>
    <w:tblStylePr w:type="band1Horz">
      <w:rPr>
        <w:rFonts w:ascii="Arial" w:hAnsi="Arial"/>
        <w:color w:val="245B8C" w:themeColor="accent1" w:themeShade="94"/>
        <w:sz w:val="22"/>
      </w:rPr>
      <w:tcPr>
        <w:shd w:val="clear" w:color="D5E5F4" w:fill="D5E5F4"/>
      </w:tcPr>
    </w:tblStylePr>
    <w:tblStylePr w:type="band2Horz">
      <w:rPr>
        <w:rFonts w:ascii="Arial" w:hAnsi="Arial"/>
        <w:color w:val="245B8C" w:themeColor="accent1" w:themeShade="94"/>
        <w:sz w:val="22"/>
      </w:rPr>
    </w:tblStylePr>
    <w:tblStylePr w:type="neCell"/>
    <w:tblStylePr w:type="nwCell"/>
    <w:tblStylePr w:type="seCell"/>
    <w:tblStylePr w:type="swCell"/>
  </w:style>
  <w:style w:type="table" w:customStyle="1" w:styleId="136">
    <w:name w:val="List Table 7 Colorful - Accent 2"/>
    <w:basedOn w:val="3"/>
    <w:qFormat/>
    <w:uiPriority w:val="99"/>
    <w:pPr>
      <w:spacing w:after="0" w:line="240" w:lineRule="auto"/>
    </w:pPr>
    <w:tblPr>
      <w:tblBorders>
        <w:right w:val="single" w:color="F4B285" w:themeColor="accent2" w:themeTint="97" w:sz="4" w:space="0"/>
      </w:tblBorders>
    </w:tblPr>
    <w:tblStylePr w:type="firstRow">
      <w:rPr>
        <w:rFonts w:ascii="Arial" w:hAnsi="Arial"/>
        <w:i/>
        <w:color w:val="F4B285" w:themeColor="accent2" w:themeTint="96"/>
        <w:sz w:val="22"/>
        <w14:textFill>
          <w14:solidFill>
            <w14:schemeClr w14:val="accent2">
              <w14:lumMod w14:val="59000"/>
              <w14:lumOff w14:val="41000"/>
            </w14:schemeClr>
          </w14:solidFill>
        </w14:textFill>
      </w:rPr>
      <w:tcPr>
        <w:tcBorders>
          <w:top w:val="nil"/>
          <w:left w:val="nil"/>
          <w:bottom w:val="single" w:color="F4B285" w:themeColor="accent2" w:themeTint="97" w:sz="4" w:space="0"/>
          <w:right w:val="nil"/>
        </w:tcBorders>
        <w:shd w:val="clear" w:color="FFFFFF" w:fill="FFFFFF"/>
      </w:tcPr>
    </w:tblStylePr>
    <w:tblStylePr w:type="lastRow">
      <w:rPr>
        <w:rFonts w:ascii="Arial" w:hAnsi="Arial"/>
        <w:i/>
        <w:color w:val="F4B285" w:themeColor="accent2" w:themeTint="96"/>
        <w:sz w:val="22"/>
        <w14:textFill>
          <w14:solidFill>
            <w14:schemeClr w14:val="accent2">
              <w14:lumMod w14:val="59000"/>
              <w14:lumOff w14:val="41000"/>
            </w14:schemeClr>
          </w14:solidFill>
        </w14:textFill>
      </w:rPr>
      <w:tcPr>
        <w:tcBorders>
          <w:top w:val="single" w:color="F4B285" w:themeColor="accent2" w:themeTint="97" w:sz="4" w:space="0"/>
          <w:left w:val="nil"/>
          <w:bottom w:val="nil"/>
          <w:right w:val="nil"/>
        </w:tcBorders>
        <w:shd w:val="clear" w:color="FFFFFF" w:fill="FFFFFF"/>
      </w:tcPr>
    </w:tblStylePr>
    <w:tblStylePr w:type="firstCol">
      <w:pPr>
        <w:jc w:val="right"/>
      </w:pPr>
      <w:rPr>
        <w:rFonts w:ascii="Arial" w:hAnsi="Arial"/>
        <w:i/>
        <w:color w:val="F4B285" w:themeColor="accent2" w:themeTint="96"/>
        <w:sz w:val="22"/>
        <w14:textFill>
          <w14:solidFill>
            <w14:schemeClr w14:val="accent2">
              <w14:lumMod w14:val="59000"/>
              <w14:lumOff w14:val="41000"/>
            </w14:schemeClr>
          </w14:solidFill>
        </w14:textFill>
      </w:rPr>
      <w:tcPr>
        <w:tcBorders>
          <w:top w:val="nil"/>
          <w:left w:val="nil"/>
          <w:bottom w:val="nil"/>
          <w:right w:val="single" w:color="F4B285" w:themeColor="accent2" w:themeTint="97" w:sz="4" w:space="0"/>
        </w:tcBorders>
        <w:shd w:val="clear" w:color="FFFFFF" w:fill="auto"/>
      </w:tcPr>
    </w:tblStylePr>
    <w:tblStylePr w:type="lastCol">
      <w:rPr>
        <w:rFonts w:ascii="Arial" w:hAnsi="Arial"/>
        <w:i/>
        <w:color w:val="F4B285" w:themeColor="accent2" w:themeTint="96"/>
        <w:sz w:val="22"/>
        <w14:textFill>
          <w14:solidFill>
            <w14:schemeClr w14:val="accent2">
              <w14:lumMod w14:val="59000"/>
              <w14:lumOff w14:val="41000"/>
            </w14:schemeClr>
          </w14:solidFill>
        </w14:textFill>
      </w:rPr>
      <w:tcPr>
        <w:tcBorders>
          <w:top w:val="nil"/>
          <w:left w:val="single" w:color="F4B285" w:themeColor="accent2" w:themeTint="97" w:sz="4" w:space="0"/>
          <w:bottom w:val="nil"/>
          <w:right w:val="nil"/>
        </w:tcBorders>
        <w:shd w:val="clear" w:color="FFFFFF" w:fill="auto"/>
      </w:tcPr>
    </w:tblStylePr>
    <w:tblStylePr w:type="band1Vert">
      <w:tcPr>
        <w:shd w:val="clear" w:color="FADECB" w:fill="FADECB"/>
      </w:tcPr>
    </w:tblStylePr>
    <w:tblStylePr w:type="band2Vert"/>
    <w:tblStylePr w:type="band1Horz">
      <w:rPr>
        <w:rFonts w:ascii="Arial" w:hAnsi="Arial"/>
        <w:color w:val="F4B285" w:themeColor="accent2" w:themeTint="96"/>
        <w:sz w:val="22"/>
        <w14:textFill>
          <w14:solidFill>
            <w14:schemeClr w14:val="accent2">
              <w14:lumMod w14:val="59000"/>
              <w14:lumOff w14:val="41000"/>
            </w14:schemeClr>
          </w14:solidFill>
        </w14:textFill>
      </w:rPr>
      <w:tcPr>
        <w:shd w:val="clear" w:color="FADECB" w:fill="FADECB"/>
      </w:tcPr>
    </w:tblStylePr>
    <w:tblStylePr w:type="band2Horz">
      <w:rPr>
        <w:rFonts w:ascii="Arial" w:hAnsi="Arial"/>
        <w:color w:val="F4B285" w:themeColor="accent2" w:themeTint="96"/>
        <w:sz w:val="22"/>
        <w14:textFill>
          <w14:solidFill>
            <w14:schemeClr w14:val="accent2">
              <w14:lumMod w14:val="59000"/>
              <w14:lumOff w14:val="41000"/>
            </w14:schemeClr>
          </w14:solidFill>
        </w14:textFill>
      </w:rPr>
    </w:tblStylePr>
    <w:tblStylePr w:type="neCell"/>
    <w:tblStylePr w:type="nwCell"/>
    <w:tblStylePr w:type="seCell"/>
    <w:tblStylePr w:type="swCell"/>
  </w:style>
  <w:style w:type="table" w:customStyle="1" w:styleId="137">
    <w:name w:val="List Table 7 Colorful - Accent 3"/>
    <w:basedOn w:val="3"/>
    <w:qFormat/>
    <w:uiPriority w:val="99"/>
    <w:pPr>
      <w:spacing w:after="0" w:line="240" w:lineRule="auto"/>
    </w:pPr>
    <w:tblPr>
      <w:tblBorders>
        <w:right w:val="single" w:color="C9C9C9" w:themeColor="accent3" w:themeTint="98" w:sz="4" w:space="0"/>
      </w:tblBorders>
    </w:tblPr>
    <w:tblStylePr w:type="firstRow">
      <w:rPr>
        <w:rFonts w:ascii="Arial" w:hAnsi="Arial"/>
        <w:i/>
        <w:color w:val="C9C9C9" w:themeColor="accent3" w:themeTint="99"/>
        <w:sz w:val="22"/>
        <w14:textFill>
          <w14:solidFill>
            <w14:schemeClr w14:val="accent3">
              <w14:lumMod w14:val="60000"/>
              <w14:lumOff w14:val="40000"/>
            </w14:schemeClr>
          </w14:solidFill>
        </w14:textFill>
      </w:rPr>
      <w:tcPr>
        <w:tcBorders>
          <w:top w:val="nil"/>
          <w:left w:val="nil"/>
          <w:bottom w:val="single" w:color="C9C9C9" w:themeColor="accent3" w:themeTint="98" w:sz="4" w:space="0"/>
          <w:right w:val="nil"/>
        </w:tcBorders>
        <w:shd w:val="clear" w:color="FFFFFF" w:fill="FFFFFF"/>
      </w:tcPr>
    </w:tblStylePr>
    <w:tblStylePr w:type="lastRow">
      <w:rPr>
        <w:rFonts w:ascii="Arial" w:hAnsi="Arial"/>
        <w:i/>
        <w:color w:val="C9C9C9" w:themeColor="accent3" w:themeTint="99"/>
        <w:sz w:val="22"/>
        <w14:textFill>
          <w14:solidFill>
            <w14:schemeClr w14:val="accent3">
              <w14:lumMod w14:val="60000"/>
              <w14:lumOff w14:val="40000"/>
            </w14:schemeClr>
          </w14:solidFill>
        </w14:textFill>
      </w:rPr>
      <w:tcPr>
        <w:tcBorders>
          <w:top w:val="single" w:color="C9C9C9" w:themeColor="accent3" w:themeTint="98" w:sz="4" w:space="0"/>
          <w:left w:val="nil"/>
          <w:bottom w:val="nil"/>
          <w:right w:val="nil"/>
        </w:tcBorders>
        <w:shd w:val="clear" w:color="FFFFFF" w:fill="FFFFFF"/>
      </w:tcPr>
    </w:tblStylePr>
    <w:tblStylePr w:type="firstCol">
      <w:pPr>
        <w:jc w:val="right"/>
      </w:pPr>
      <w:rPr>
        <w:rFonts w:ascii="Arial" w:hAnsi="Arial"/>
        <w:i/>
        <w:color w:val="C9C9C9" w:themeColor="accent3" w:themeTint="99"/>
        <w:sz w:val="22"/>
        <w14:textFill>
          <w14:solidFill>
            <w14:schemeClr w14:val="accent3">
              <w14:lumMod w14:val="60000"/>
              <w14:lumOff w14:val="40000"/>
            </w14:schemeClr>
          </w14:solidFill>
        </w14:textFill>
      </w:rPr>
      <w:tcPr>
        <w:tcBorders>
          <w:top w:val="nil"/>
          <w:left w:val="nil"/>
          <w:bottom w:val="nil"/>
          <w:right w:val="single" w:color="C9C9C9" w:themeColor="accent3" w:themeTint="98" w:sz="4" w:space="0"/>
        </w:tcBorders>
        <w:shd w:val="clear" w:color="FFFFFF" w:fill="auto"/>
      </w:tcPr>
    </w:tblStylePr>
    <w:tblStylePr w:type="lastCol">
      <w:rPr>
        <w:rFonts w:ascii="Arial" w:hAnsi="Arial"/>
        <w:i/>
        <w:color w:val="C9C9C9" w:themeColor="accent3" w:themeTint="99"/>
        <w:sz w:val="22"/>
        <w14:textFill>
          <w14:solidFill>
            <w14:schemeClr w14:val="accent3">
              <w14:lumMod w14:val="60000"/>
              <w14:lumOff w14:val="40000"/>
            </w14:schemeClr>
          </w14:solidFill>
        </w14:textFill>
      </w:rPr>
      <w:tcPr>
        <w:tcBorders>
          <w:top w:val="nil"/>
          <w:left w:val="single" w:color="C9C9C9" w:themeColor="accent3" w:themeTint="98" w:sz="4" w:space="0"/>
          <w:bottom w:val="nil"/>
          <w:right w:val="nil"/>
        </w:tcBorders>
        <w:shd w:val="clear" w:color="FFFFFF" w:fill="auto"/>
      </w:tcPr>
    </w:tblStylePr>
    <w:tblStylePr w:type="band1Vert">
      <w:tcPr>
        <w:shd w:val="clear" w:color="E8E8E8" w:fill="E8E8E8"/>
      </w:tcPr>
    </w:tblStylePr>
    <w:tblStylePr w:type="band2Vert"/>
    <w:tblStylePr w:type="band1Horz">
      <w:rPr>
        <w:rFonts w:ascii="Arial" w:hAnsi="Arial"/>
        <w:color w:val="C9C9C9" w:themeColor="accent3" w:themeTint="99"/>
        <w:sz w:val="22"/>
        <w14:textFill>
          <w14:solidFill>
            <w14:schemeClr w14:val="accent3">
              <w14:lumMod w14:val="60000"/>
              <w14:lumOff w14:val="40000"/>
            </w14:schemeClr>
          </w14:solidFill>
        </w14:textFill>
      </w:rPr>
      <w:tcPr>
        <w:shd w:val="clear" w:color="E8E8E8" w:fill="E8E8E8"/>
      </w:tcPr>
    </w:tblStylePr>
    <w:tblStylePr w:type="band2Horz">
      <w:rPr>
        <w:rFonts w:ascii="Arial" w:hAnsi="Arial"/>
        <w:color w:val="C9C9C9" w:themeColor="accent3" w:themeTint="99"/>
        <w:sz w:val="22"/>
        <w14:textFill>
          <w14:solidFill>
            <w14:schemeClr w14:val="accent3">
              <w14:lumMod w14:val="60000"/>
              <w14:lumOff w14:val="40000"/>
            </w14:schemeClr>
          </w14:solidFill>
        </w14:textFill>
      </w:rPr>
    </w:tblStylePr>
    <w:tblStylePr w:type="neCell"/>
    <w:tblStylePr w:type="nwCell"/>
    <w:tblStylePr w:type="seCell"/>
    <w:tblStylePr w:type="swCell"/>
  </w:style>
  <w:style w:type="table" w:customStyle="1" w:styleId="138">
    <w:name w:val="List Table 7 Colorful - Accent 4"/>
    <w:basedOn w:val="3"/>
    <w:qFormat/>
    <w:uiPriority w:val="99"/>
    <w:pPr>
      <w:spacing w:after="0" w:line="240" w:lineRule="auto"/>
    </w:pPr>
    <w:tblPr>
      <w:tblBorders>
        <w:right w:val="single" w:color="FFD864" w:themeColor="accent4" w:themeTint="9A" w:sz="4" w:space="0"/>
      </w:tblBorders>
    </w:tblPr>
    <w:tblStylePr w:type="firstRow">
      <w:rPr>
        <w:rFonts w:ascii="Arial" w:hAnsi="Arial"/>
        <w:i/>
        <w:color w:val="FFD966" w:themeColor="accent4" w:themeTint="99"/>
        <w:sz w:val="22"/>
        <w14:textFill>
          <w14:solidFill>
            <w14:schemeClr w14:val="accent4">
              <w14:lumMod w14:val="60000"/>
              <w14:lumOff w14:val="40000"/>
            </w14:schemeClr>
          </w14:solidFill>
        </w14:textFill>
      </w:rPr>
      <w:tcPr>
        <w:tcBorders>
          <w:top w:val="nil"/>
          <w:left w:val="nil"/>
          <w:bottom w:val="single" w:color="FFD864" w:themeColor="accent4" w:themeTint="9A" w:sz="4" w:space="0"/>
          <w:right w:val="nil"/>
        </w:tcBorders>
        <w:shd w:val="clear" w:color="FFFFFF" w:fill="FFFFFF"/>
      </w:tcPr>
    </w:tblStylePr>
    <w:tblStylePr w:type="lastRow">
      <w:rPr>
        <w:rFonts w:ascii="Arial" w:hAnsi="Arial"/>
        <w:i/>
        <w:color w:val="FFD966" w:themeColor="accent4" w:themeTint="99"/>
        <w:sz w:val="22"/>
        <w14:textFill>
          <w14:solidFill>
            <w14:schemeClr w14:val="accent4">
              <w14:lumMod w14:val="60000"/>
              <w14:lumOff w14:val="40000"/>
            </w14:schemeClr>
          </w14:solidFill>
        </w14:textFill>
      </w:rPr>
      <w:tcPr>
        <w:tcBorders>
          <w:top w:val="single" w:color="FFD864" w:themeColor="accent4" w:themeTint="9A" w:sz="4" w:space="0"/>
          <w:left w:val="nil"/>
          <w:bottom w:val="nil"/>
          <w:right w:val="nil"/>
        </w:tcBorders>
        <w:shd w:val="clear" w:color="FFFFFF" w:fill="FFFFFF"/>
      </w:tcPr>
    </w:tblStylePr>
    <w:tblStylePr w:type="firstCol">
      <w:pPr>
        <w:jc w:val="right"/>
      </w:pPr>
      <w:rPr>
        <w:rFonts w:ascii="Arial" w:hAnsi="Arial"/>
        <w:i/>
        <w:color w:val="FFD966" w:themeColor="accent4" w:themeTint="99"/>
        <w:sz w:val="22"/>
        <w14:textFill>
          <w14:solidFill>
            <w14:schemeClr w14:val="accent4">
              <w14:lumMod w14:val="60000"/>
              <w14:lumOff w14:val="40000"/>
            </w14:schemeClr>
          </w14:solidFill>
        </w14:textFill>
      </w:rPr>
      <w:tcPr>
        <w:tcBorders>
          <w:top w:val="nil"/>
          <w:left w:val="nil"/>
          <w:bottom w:val="nil"/>
          <w:right w:val="single" w:color="FFD864" w:themeColor="accent4" w:themeTint="9A" w:sz="4" w:space="0"/>
        </w:tcBorders>
        <w:shd w:val="clear" w:color="FFFFFF" w:fill="auto"/>
      </w:tcPr>
    </w:tblStylePr>
    <w:tblStylePr w:type="lastCol">
      <w:rPr>
        <w:rFonts w:ascii="Arial" w:hAnsi="Arial"/>
        <w:i/>
        <w:color w:val="FFD966" w:themeColor="accent4" w:themeTint="99"/>
        <w:sz w:val="22"/>
        <w14:textFill>
          <w14:solidFill>
            <w14:schemeClr w14:val="accent4">
              <w14:lumMod w14:val="60000"/>
              <w14:lumOff w14:val="40000"/>
            </w14:schemeClr>
          </w14:solidFill>
        </w14:textFill>
      </w:rPr>
      <w:tcPr>
        <w:tcBorders>
          <w:top w:val="nil"/>
          <w:left w:val="single" w:color="FFD864" w:themeColor="accent4" w:themeTint="9A" w:sz="4" w:space="0"/>
          <w:bottom w:val="nil"/>
          <w:right w:val="nil"/>
        </w:tcBorders>
        <w:shd w:val="clear" w:color="FFFFFF" w:fill="auto"/>
      </w:tcPr>
    </w:tblStylePr>
    <w:tblStylePr w:type="band1Vert">
      <w:tcPr>
        <w:shd w:val="clear" w:color="FFEFBE" w:fill="FFEFBE"/>
      </w:tcPr>
    </w:tblStylePr>
    <w:tblStylePr w:type="band2Vert"/>
    <w:tblStylePr w:type="band1Horz">
      <w:rPr>
        <w:rFonts w:ascii="Arial" w:hAnsi="Arial"/>
        <w:color w:val="FFD966" w:themeColor="accent4" w:themeTint="99"/>
        <w:sz w:val="22"/>
        <w14:textFill>
          <w14:solidFill>
            <w14:schemeClr w14:val="accent4">
              <w14:lumMod w14:val="60000"/>
              <w14:lumOff w14:val="40000"/>
            </w14:schemeClr>
          </w14:solidFill>
        </w14:textFill>
      </w:rPr>
      <w:tcPr>
        <w:shd w:val="clear" w:color="FFEFBE" w:fill="FFEFBE"/>
      </w:tcPr>
    </w:tblStylePr>
    <w:tblStylePr w:type="band2Horz">
      <w:rPr>
        <w:rFonts w:ascii="Arial" w:hAnsi="Arial"/>
        <w:color w:val="FFD966" w:themeColor="accent4" w:themeTint="99"/>
        <w:sz w:val="22"/>
        <w14:textFill>
          <w14:solidFill>
            <w14:schemeClr w14:val="accent4">
              <w14:lumMod w14:val="60000"/>
              <w14:lumOff w14:val="40000"/>
            </w14:schemeClr>
          </w14:solidFill>
        </w14:textFill>
      </w:rPr>
    </w:tblStylePr>
    <w:tblStylePr w:type="neCell"/>
    <w:tblStylePr w:type="nwCell"/>
    <w:tblStylePr w:type="seCell"/>
    <w:tblStylePr w:type="swCell"/>
  </w:style>
  <w:style w:type="table" w:customStyle="1" w:styleId="139">
    <w:name w:val="List Table 7 Colorful - Accent 5"/>
    <w:basedOn w:val="3"/>
    <w:qFormat/>
    <w:uiPriority w:val="99"/>
    <w:pPr>
      <w:spacing w:after="0" w:line="240" w:lineRule="auto"/>
    </w:pPr>
    <w:tblPr>
      <w:tblBorders>
        <w:right w:val="single" w:color="8EA9DB" w:themeColor="accent5" w:themeTint="9A" w:sz="4" w:space="0"/>
      </w:tblBorders>
    </w:tblPr>
    <w:tblStylePr w:type="firstRow">
      <w:rPr>
        <w:rFonts w:ascii="Arial" w:hAnsi="Arial"/>
        <w:i/>
        <w:color w:val="8FAADC" w:themeColor="accent5" w:themeTint="99"/>
        <w:sz w:val="22"/>
        <w14:textFill>
          <w14:solidFill>
            <w14:schemeClr w14:val="accent5">
              <w14:lumMod w14:val="60000"/>
              <w14:lumOff w14:val="40000"/>
            </w14:schemeClr>
          </w14:solidFill>
        </w14:textFill>
      </w:rPr>
      <w:tcPr>
        <w:tcBorders>
          <w:top w:val="nil"/>
          <w:left w:val="nil"/>
          <w:bottom w:val="single" w:color="8EA9DB" w:themeColor="accent5" w:themeTint="9A" w:sz="4" w:space="0"/>
          <w:right w:val="nil"/>
        </w:tcBorders>
        <w:shd w:val="clear" w:color="FFFFFF" w:fill="FFFFFF"/>
      </w:tcPr>
    </w:tblStylePr>
    <w:tblStylePr w:type="lastRow">
      <w:rPr>
        <w:rFonts w:ascii="Arial" w:hAnsi="Arial"/>
        <w:i/>
        <w:color w:val="8FAADC" w:themeColor="accent5" w:themeTint="99"/>
        <w:sz w:val="22"/>
        <w14:textFill>
          <w14:solidFill>
            <w14:schemeClr w14:val="accent5">
              <w14:lumMod w14:val="60000"/>
              <w14:lumOff w14:val="40000"/>
            </w14:schemeClr>
          </w14:solidFill>
        </w14:textFill>
      </w:rPr>
      <w:tcPr>
        <w:tcBorders>
          <w:top w:val="single" w:color="8EA9DB" w:themeColor="accent5" w:themeTint="9A" w:sz="4" w:space="0"/>
          <w:left w:val="nil"/>
          <w:bottom w:val="nil"/>
          <w:right w:val="nil"/>
        </w:tcBorders>
        <w:shd w:val="clear" w:color="FFFFFF" w:fill="FFFFFF"/>
      </w:tcPr>
    </w:tblStylePr>
    <w:tblStylePr w:type="firstCol">
      <w:pPr>
        <w:jc w:val="right"/>
      </w:pPr>
      <w:rPr>
        <w:rFonts w:ascii="Arial" w:hAnsi="Arial"/>
        <w:i/>
        <w:color w:val="8FAADC" w:themeColor="accent5" w:themeTint="99"/>
        <w:sz w:val="22"/>
        <w14:textFill>
          <w14:solidFill>
            <w14:schemeClr w14:val="accent5">
              <w14:lumMod w14:val="60000"/>
              <w14:lumOff w14:val="40000"/>
            </w14:schemeClr>
          </w14:solidFill>
        </w14:textFill>
      </w:rPr>
      <w:tcPr>
        <w:tcBorders>
          <w:top w:val="nil"/>
          <w:left w:val="nil"/>
          <w:bottom w:val="nil"/>
          <w:right w:val="single" w:color="8EA9DB" w:themeColor="accent5" w:themeTint="9A" w:sz="4" w:space="0"/>
        </w:tcBorders>
        <w:shd w:val="clear" w:color="FFFFFF" w:fill="auto"/>
      </w:tcPr>
    </w:tblStylePr>
    <w:tblStylePr w:type="lastCol">
      <w:rPr>
        <w:rFonts w:ascii="Arial" w:hAnsi="Arial"/>
        <w:i/>
        <w:color w:val="8FAADC" w:themeColor="accent5" w:themeTint="99"/>
        <w:sz w:val="22"/>
        <w14:textFill>
          <w14:solidFill>
            <w14:schemeClr w14:val="accent5">
              <w14:lumMod w14:val="60000"/>
              <w14:lumOff w14:val="40000"/>
            </w14:schemeClr>
          </w14:solidFill>
        </w14:textFill>
      </w:rPr>
      <w:tcPr>
        <w:tcBorders>
          <w:top w:val="nil"/>
          <w:left w:val="single" w:color="8EA9DB" w:themeColor="accent5" w:themeTint="9A" w:sz="4" w:space="0"/>
          <w:bottom w:val="nil"/>
          <w:right w:val="nil"/>
        </w:tcBorders>
        <w:shd w:val="clear" w:color="FFFFFF" w:fill="auto"/>
      </w:tcPr>
    </w:tblStylePr>
    <w:tblStylePr w:type="band1Vert">
      <w:tcPr>
        <w:shd w:val="clear" w:color="D0DBF0" w:fill="D0DBF0"/>
      </w:tcPr>
    </w:tblStylePr>
    <w:tblStylePr w:type="band2Vert"/>
    <w:tblStylePr w:type="band1Horz">
      <w:rPr>
        <w:rFonts w:ascii="Arial" w:hAnsi="Arial"/>
        <w:color w:val="8FAADC" w:themeColor="accent5" w:themeTint="99"/>
        <w:sz w:val="22"/>
        <w14:textFill>
          <w14:solidFill>
            <w14:schemeClr w14:val="accent5">
              <w14:lumMod w14:val="60000"/>
              <w14:lumOff w14:val="40000"/>
            </w14:schemeClr>
          </w14:solidFill>
        </w14:textFill>
      </w:rPr>
      <w:tcPr>
        <w:shd w:val="clear" w:color="D0DBF0" w:fill="D0DBF0"/>
      </w:tcPr>
    </w:tblStylePr>
    <w:tblStylePr w:type="band2Horz">
      <w:rPr>
        <w:rFonts w:ascii="Arial" w:hAnsi="Arial"/>
        <w:color w:val="8FAADC" w:themeColor="accent5" w:themeTint="99"/>
        <w:sz w:val="22"/>
        <w14:textFill>
          <w14:solidFill>
            <w14:schemeClr w14:val="accent5">
              <w14:lumMod w14:val="60000"/>
              <w14:lumOff w14:val="40000"/>
            </w14:schemeClr>
          </w14:solidFill>
        </w14:textFill>
      </w:rPr>
    </w:tblStylePr>
    <w:tblStylePr w:type="neCell"/>
    <w:tblStylePr w:type="nwCell"/>
    <w:tblStylePr w:type="seCell"/>
    <w:tblStylePr w:type="swCell"/>
  </w:style>
  <w:style w:type="table" w:customStyle="1" w:styleId="140">
    <w:name w:val="List Table 7 Colorful - Accent 6"/>
    <w:basedOn w:val="3"/>
    <w:qFormat/>
    <w:uiPriority w:val="99"/>
    <w:pPr>
      <w:spacing w:after="0" w:line="240" w:lineRule="auto"/>
    </w:pPr>
    <w:tblPr>
      <w:tblBorders>
        <w:right w:val="single" w:color="A9D08E" w:themeColor="accent6" w:themeTint="98" w:sz="4" w:space="0"/>
      </w:tblBorders>
    </w:tblPr>
    <w:tblStylePr w:type="firstRow">
      <w:rPr>
        <w:rFonts w:ascii="Arial" w:hAnsi="Arial"/>
        <w:i/>
        <w:color w:val="A9D18E" w:themeColor="accent6" w:themeTint="99"/>
        <w:sz w:val="22"/>
        <w14:textFill>
          <w14:solidFill>
            <w14:schemeClr w14:val="accent6">
              <w14:lumMod w14:val="60000"/>
              <w14:lumOff w14:val="40000"/>
            </w14:schemeClr>
          </w14:solidFill>
        </w14:textFill>
      </w:rPr>
      <w:tcPr>
        <w:tcBorders>
          <w:top w:val="nil"/>
          <w:left w:val="nil"/>
          <w:bottom w:val="single" w:color="A9D08E" w:themeColor="accent6" w:themeTint="98" w:sz="4" w:space="0"/>
          <w:right w:val="nil"/>
        </w:tcBorders>
        <w:shd w:val="clear" w:color="FFFFFF" w:fill="FFFFFF"/>
      </w:tcPr>
    </w:tblStylePr>
    <w:tblStylePr w:type="lastRow">
      <w:rPr>
        <w:rFonts w:ascii="Arial" w:hAnsi="Arial"/>
        <w:i/>
        <w:color w:val="A9D18E" w:themeColor="accent6" w:themeTint="99"/>
        <w:sz w:val="22"/>
        <w14:textFill>
          <w14:solidFill>
            <w14:schemeClr w14:val="accent6">
              <w14:lumMod w14:val="60000"/>
              <w14:lumOff w14:val="40000"/>
            </w14:schemeClr>
          </w14:solidFill>
        </w14:textFill>
      </w:rPr>
      <w:tcPr>
        <w:tcBorders>
          <w:top w:val="single" w:color="A9D08E" w:themeColor="accent6" w:themeTint="98" w:sz="4" w:space="0"/>
          <w:left w:val="nil"/>
          <w:bottom w:val="nil"/>
          <w:right w:val="nil"/>
        </w:tcBorders>
        <w:shd w:val="clear" w:color="FFFFFF" w:fill="FFFFFF"/>
      </w:tcPr>
    </w:tblStylePr>
    <w:tblStylePr w:type="firstCol">
      <w:pPr>
        <w:jc w:val="right"/>
      </w:pPr>
      <w:rPr>
        <w:rFonts w:ascii="Arial" w:hAnsi="Arial"/>
        <w:i/>
        <w:color w:val="A9D18E" w:themeColor="accent6" w:themeTint="99"/>
        <w:sz w:val="22"/>
        <w14:textFill>
          <w14:solidFill>
            <w14:schemeClr w14:val="accent6">
              <w14:lumMod w14:val="60000"/>
              <w14:lumOff w14:val="40000"/>
            </w14:schemeClr>
          </w14:solidFill>
        </w14:textFill>
      </w:rPr>
      <w:tcPr>
        <w:tcBorders>
          <w:top w:val="nil"/>
          <w:left w:val="nil"/>
          <w:bottom w:val="nil"/>
          <w:right w:val="single" w:color="A9D08E" w:themeColor="accent6" w:themeTint="98" w:sz="4" w:space="0"/>
        </w:tcBorders>
        <w:shd w:val="clear" w:color="FFFFFF" w:fill="auto"/>
      </w:tcPr>
    </w:tblStylePr>
    <w:tblStylePr w:type="lastCol">
      <w:rPr>
        <w:rFonts w:ascii="Arial" w:hAnsi="Arial"/>
        <w:i/>
        <w:color w:val="A9D18E" w:themeColor="accent6" w:themeTint="99"/>
        <w:sz w:val="22"/>
        <w14:textFill>
          <w14:solidFill>
            <w14:schemeClr w14:val="accent6">
              <w14:lumMod w14:val="60000"/>
              <w14:lumOff w14:val="40000"/>
            </w14:schemeClr>
          </w14:solidFill>
        </w14:textFill>
      </w:rPr>
      <w:tcPr>
        <w:tcBorders>
          <w:top w:val="nil"/>
          <w:left w:val="single" w:color="A9D08E" w:themeColor="accent6" w:themeTint="98" w:sz="4" w:space="0"/>
          <w:bottom w:val="nil"/>
          <w:right w:val="nil"/>
        </w:tcBorders>
        <w:shd w:val="clear" w:color="FFFFFF" w:fill="auto"/>
      </w:tcPr>
    </w:tblStylePr>
    <w:tblStylePr w:type="band1Vert">
      <w:tcPr>
        <w:shd w:val="clear" w:color="DAEBCF" w:fill="DAEBCF"/>
      </w:tcPr>
    </w:tblStylePr>
    <w:tblStylePr w:type="band2Vert"/>
    <w:tblStylePr w:type="band1Horz">
      <w:rPr>
        <w:rFonts w:ascii="Arial" w:hAnsi="Arial"/>
        <w:color w:val="A9D18E" w:themeColor="accent6" w:themeTint="99"/>
        <w:sz w:val="22"/>
        <w14:textFill>
          <w14:solidFill>
            <w14:schemeClr w14:val="accent6">
              <w14:lumMod w14:val="60000"/>
              <w14:lumOff w14:val="40000"/>
            </w14:schemeClr>
          </w14:solidFill>
        </w14:textFill>
      </w:rPr>
      <w:tcPr>
        <w:shd w:val="clear" w:color="DAEBCF" w:fill="DAEBCF"/>
      </w:tcPr>
    </w:tblStylePr>
    <w:tblStylePr w:type="band2Horz">
      <w:rPr>
        <w:rFonts w:ascii="Arial" w:hAnsi="Arial"/>
        <w:color w:val="A9D18E" w:themeColor="accent6" w:themeTint="99"/>
        <w:sz w:val="22"/>
        <w14:textFill>
          <w14:solidFill>
            <w14:schemeClr w14:val="accent6">
              <w14:lumMod w14:val="60000"/>
              <w14:lumOff w14:val="40000"/>
            </w14:schemeClr>
          </w14:solidFill>
        </w14:textFill>
      </w:rPr>
    </w:tblStylePr>
    <w:tblStylePr w:type="neCell"/>
    <w:tblStylePr w:type="nwCell"/>
    <w:tblStylePr w:type="seCell"/>
    <w:tblStylePr w:type="swCell"/>
  </w:style>
  <w:style w:type="table" w:customStyle="1" w:styleId="141">
    <w:name w:val="Lined - Accent"/>
    <w:basedOn w:val="3"/>
    <w:qFormat/>
    <w:uiPriority w:val="99"/>
    <w:pPr>
      <w:spacing w:after="0" w:line="240" w:lineRule="auto"/>
    </w:pPr>
    <w:rPr>
      <w:color w:val="404040"/>
    </w:rPr>
    <w:tblStylePr w:type="firstRow">
      <w:rPr>
        <w:rFonts w:ascii="Arial" w:hAnsi="Arial"/>
        <w:color w:val="F2F2F2"/>
        <w:sz w:val="22"/>
      </w:rPr>
      <w:tcPr>
        <w:shd w:val="clear" w:color="7E7E7E" w:fill="7E7E7E"/>
      </w:tcPr>
    </w:tblStylePr>
    <w:tblStylePr w:type="lastRow">
      <w:rPr>
        <w:rFonts w:ascii="Arial" w:hAnsi="Arial"/>
        <w:color w:val="F2F2F2"/>
        <w:sz w:val="22"/>
      </w:rPr>
      <w:tcPr>
        <w:shd w:val="clear" w:color="7E7E7E" w:fill="7E7E7E"/>
      </w:tcPr>
    </w:tblStylePr>
    <w:tblStylePr w:type="firstCol">
      <w:rPr>
        <w:rFonts w:ascii="Arial" w:hAnsi="Arial"/>
        <w:color w:val="F2F2F2"/>
        <w:sz w:val="22"/>
      </w:rPr>
      <w:tcPr>
        <w:shd w:val="clear" w:color="7E7E7E" w:fill="7E7E7E"/>
      </w:tcPr>
    </w:tblStylePr>
    <w:tblStylePr w:type="lastCol">
      <w:rPr>
        <w:rFonts w:ascii="Arial" w:hAnsi="Arial"/>
        <w:color w:val="F2F2F2"/>
        <w:sz w:val="22"/>
      </w:rPr>
      <w:tcPr>
        <w:shd w:val="clear" w:color="7E7E7E" w:fill="7E7E7E"/>
      </w:tcPr>
    </w:tblStylePr>
    <w:tblStylePr w:type="band1Vert">
      <w:rPr>
        <w:rFonts w:ascii="Arial" w:hAnsi="Arial"/>
        <w:color w:val="404040"/>
        <w:sz w:val="22"/>
      </w:rPr>
    </w:tblStylePr>
    <w:tblStylePr w:type="band2Vert">
      <w:rPr>
        <w:rFonts w:ascii="Arial" w:hAnsi="Arial"/>
        <w:color w:val="404040"/>
        <w:sz w:val="22"/>
      </w:rPr>
      <w:tcPr>
        <w:shd w:val="clear" w:color="F1F1F1" w:fill="F1F1F1"/>
      </w:tcPr>
    </w:tblStylePr>
    <w:tblStylePr w:type="band1Horz">
      <w:rPr>
        <w:rFonts w:ascii="Arial" w:hAnsi="Arial"/>
        <w:color w:val="404040"/>
        <w:sz w:val="22"/>
      </w:rPr>
    </w:tblStylePr>
    <w:tblStylePr w:type="band2Horz">
      <w:rPr>
        <w:rFonts w:ascii="Arial" w:hAnsi="Arial"/>
        <w:color w:val="404040"/>
        <w:sz w:val="22"/>
      </w:rPr>
      <w:tcPr>
        <w:shd w:val="clear" w:color="F1F1F1" w:fill="F1F1F1"/>
      </w:tcPr>
    </w:tblStylePr>
    <w:tblStylePr w:type="neCell"/>
    <w:tblStylePr w:type="nwCell"/>
    <w:tblStylePr w:type="seCell"/>
    <w:tblStylePr w:type="swCell"/>
  </w:style>
  <w:style w:type="table" w:customStyle="1" w:styleId="142">
    <w:name w:val="Lined - Accent 1"/>
    <w:basedOn w:val="3"/>
    <w:qFormat/>
    <w:uiPriority w:val="99"/>
    <w:pPr>
      <w:spacing w:after="0" w:line="240" w:lineRule="auto"/>
    </w:pPr>
    <w:rPr>
      <w:color w:val="404040"/>
    </w:rPr>
    <w:tblStylePr w:type="firstRow">
      <w:rPr>
        <w:rFonts w:ascii="Arial" w:hAnsi="Arial"/>
        <w:color w:val="F2F2F2"/>
        <w:sz w:val="22"/>
      </w:rPr>
      <w:tcPr>
        <w:shd w:val="clear" w:color="68A3D8" w:fill="68A3D8"/>
      </w:tcPr>
    </w:tblStylePr>
    <w:tblStylePr w:type="lastRow">
      <w:rPr>
        <w:rFonts w:ascii="Arial" w:hAnsi="Arial"/>
        <w:color w:val="F2F2F2"/>
        <w:sz w:val="22"/>
      </w:rPr>
      <w:tcPr>
        <w:shd w:val="clear" w:color="68A3D8" w:fill="68A3D8"/>
      </w:tcPr>
    </w:tblStylePr>
    <w:tblStylePr w:type="firstCol">
      <w:rPr>
        <w:rFonts w:ascii="Arial" w:hAnsi="Arial"/>
        <w:color w:val="F2F2F2"/>
        <w:sz w:val="22"/>
      </w:rPr>
      <w:tcPr>
        <w:shd w:val="clear" w:color="68A3D8" w:fill="68A3D8"/>
      </w:tcPr>
    </w:tblStylePr>
    <w:tblStylePr w:type="lastCol">
      <w:rPr>
        <w:rFonts w:ascii="Arial" w:hAnsi="Arial"/>
        <w:color w:val="F2F2F2"/>
        <w:sz w:val="22"/>
      </w:rPr>
      <w:tcPr>
        <w:shd w:val="clear" w:color="68A3D8" w:fill="68A3D8"/>
      </w:tcPr>
    </w:tblStylePr>
    <w:tblStylePr w:type="band1Vert">
      <w:rPr>
        <w:rFonts w:ascii="Arial" w:hAnsi="Arial"/>
        <w:color w:val="404040"/>
        <w:sz w:val="22"/>
      </w:rPr>
    </w:tblStylePr>
    <w:tblStylePr w:type="band2Vert">
      <w:rPr>
        <w:rFonts w:ascii="Arial" w:hAnsi="Arial"/>
        <w:color w:val="404040"/>
        <w:sz w:val="22"/>
      </w:rPr>
      <w:tcPr>
        <w:shd w:val="clear" w:color="CBDFF1" w:fill="CBDFF1"/>
      </w:tcPr>
    </w:tblStylePr>
    <w:tblStylePr w:type="band1Horz">
      <w:rPr>
        <w:rFonts w:ascii="Arial" w:hAnsi="Arial"/>
        <w:color w:val="404040"/>
        <w:sz w:val="22"/>
      </w:rPr>
    </w:tblStylePr>
    <w:tblStylePr w:type="band2Horz">
      <w:rPr>
        <w:rFonts w:ascii="Arial" w:hAnsi="Arial"/>
        <w:color w:val="404040"/>
        <w:sz w:val="22"/>
      </w:rPr>
      <w:tcPr>
        <w:shd w:val="clear" w:color="CBDFF1" w:fill="CBDFF1"/>
      </w:tcPr>
    </w:tblStylePr>
    <w:tblStylePr w:type="neCell"/>
    <w:tblStylePr w:type="nwCell"/>
    <w:tblStylePr w:type="seCell"/>
    <w:tblStylePr w:type="swCell"/>
  </w:style>
  <w:style w:type="table" w:customStyle="1" w:styleId="143">
    <w:name w:val="Lined - Accent 2"/>
    <w:basedOn w:val="3"/>
    <w:qFormat/>
    <w:uiPriority w:val="99"/>
    <w:pPr>
      <w:spacing w:after="0" w:line="240" w:lineRule="auto"/>
    </w:pPr>
    <w:rPr>
      <w:color w:val="404040"/>
    </w:rPr>
    <w:tblStylePr w:type="firstRow">
      <w:rPr>
        <w:rFonts w:ascii="Arial" w:hAnsi="Arial"/>
        <w:color w:val="F2F2F2"/>
        <w:sz w:val="22"/>
      </w:rPr>
      <w:tcPr>
        <w:shd w:val="clear" w:color="F4B285" w:fill="F4B285"/>
      </w:tcPr>
    </w:tblStylePr>
    <w:tblStylePr w:type="lastRow">
      <w:rPr>
        <w:rFonts w:ascii="Arial" w:hAnsi="Arial"/>
        <w:color w:val="F2F2F2"/>
        <w:sz w:val="22"/>
      </w:rPr>
      <w:tcPr>
        <w:shd w:val="clear" w:color="F4B285" w:fill="F4B285"/>
      </w:tcPr>
    </w:tblStylePr>
    <w:tblStylePr w:type="firstCol">
      <w:rPr>
        <w:rFonts w:ascii="Arial" w:hAnsi="Arial"/>
        <w:color w:val="F2F2F2"/>
        <w:sz w:val="22"/>
      </w:rPr>
      <w:tcPr>
        <w:shd w:val="clear" w:color="F4B285" w:fill="F4B285"/>
      </w:tcPr>
    </w:tblStylePr>
    <w:tblStylePr w:type="lastCol">
      <w:rPr>
        <w:rFonts w:ascii="Arial" w:hAnsi="Arial"/>
        <w:color w:val="F2F2F2"/>
        <w:sz w:val="22"/>
      </w:rPr>
      <w:tcPr>
        <w:shd w:val="clear" w:color="F4B285" w:fill="F4B285"/>
      </w:tcPr>
    </w:tblStylePr>
    <w:tblStylePr w:type="band1Vert">
      <w:rPr>
        <w:rFonts w:ascii="Arial" w:hAnsi="Arial"/>
        <w:color w:val="404040"/>
        <w:sz w:val="22"/>
      </w:rPr>
    </w:tblStylePr>
    <w:tblStylePr w:type="band2Vert">
      <w:rPr>
        <w:rFonts w:ascii="Arial" w:hAnsi="Arial"/>
        <w:color w:val="404040"/>
        <w:sz w:val="22"/>
      </w:rPr>
      <w:tcPr>
        <w:shd w:val="clear" w:color="FBE5D6" w:fill="FBE5D6"/>
      </w:tcPr>
    </w:tblStylePr>
    <w:tblStylePr w:type="band1Horz">
      <w:rPr>
        <w:rFonts w:ascii="Arial" w:hAnsi="Arial"/>
        <w:color w:val="404040"/>
        <w:sz w:val="22"/>
      </w:rPr>
    </w:tblStylePr>
    <w:tblStylePr w:type="band2Horz">
      <w:rPr>
        <w:rFonts w:ascii="Arial" w:hAnsi="Arial"/>
        <w:color w:val="404040"/>
        <w:sz w:val="22"/>
      </w:rPr>
      <w:tcPr>
        <w:shd w:val="clear" w:color="FBE5D6" w:fill="FBE5D6"/>
      </w:tcPr>
    </w:tblStylePr>
    <w:tblStylePr w:type="neCell"/>
    <w:tblStylePr w:type="nwCell"/>
    <w:tblStylePr w:type="seCell"/>
    <w:tblStylePr w:type="swCell"/>
  </w:style>
  <w:style w:type="table" w:customStyle="1" w:styleId="144">
    <w:name w:val="Lined - Accent 3"/>
    <w:basedOn w:val="3"/>
    <w:qFormat/>
    <w:uiPriority w:val="99"/>
    <w:pPr>
      <w:spacing w:after="0" w:line="240" w:lineRule="auto"/>
    </w:pPr>
    <w:rPr>
      <w:color w:val="404040"/>
    </w:rPr>
    <w:tblStylePr w:type="firstRow">
      <w:rPr>
        <w:rFonts w:ascii="Arial" w:hAnsi="Arial"/>
        <w:color w:val="F2F2F2"/>
        <w:sz w:val="22"/>
      </w:rPr>
      <w:tcPr>
        <w:shd w:val="clear" w:color="A5A5A5" w:fill="A5A5A5"/>
      </w:tcPr>
    </w:tblStylePr>
    <w:tblStylePr w:type="lastRow">
      <w:rPr>
        <w:rFonts w:ascii="Arial" w:hAnsi="Arial"/>
        <w:color w:val="F2F2F2"/>
        <w:sz w:val="22"/>
      </w:rPr>
      <w:tcPr>
        <w:shd w:val="clear" w:color="A5A5A5" w:fill="A5A5A5"/>
      </w:tcPr>
    </w:tblStylePr>
    <w:tblStylePr w:type="firstCol">
      <w:rPr>
        <w:rFonts w:ascii="Arial" w:hAnsi="Arial"/>
        <w:color w:val="F2F2F2"/>
        <w:sz w:val="22"/>
      </w:rPr>
      <w:tcPr>
        <w:shd w:val="clear" w:color="A5A5A5" w:fill="A5A5A5"/>
      </w:tcPr>
    </w:tblStylePr>
    <w:tblStylePr w:type="lastCol">
      <w:rPr>
        <w:rFonts w:ascii="Arial" w:hAnsi="Arial"/>
        <w:color w:val="F2F2F2"/>
        <w:sz w:val="22"/>
      </w:rPr>
      <w:tcPr>
        <w:shd w:val="clear" w:color="A5A5A5" w:fill="A5A5A5"/>
      </w:tcPr>
    </w:tblStylePr>
    <w:tblStylePr w:type="band1Vert">
      <w:rPr>
        <w:rFonts w:ascii="Arial" w:hAnsi="Arial"/>
        <w:color w:val="404040"/>
        <w:sz w:val="22"/>
      </w:rPr>
    </w:tblStylePr>
    <w:tblStylePr w:type="band2Vert">
      <w:rPr>
        <w:rFonts w:ascii="Arial" w:hAnsi="Arial"/>
        <w:color w:val="404040"/>
        <w:sz w:val="22"/>
      </w:rPr>
      <w:tcPr>
        <w:shd w:val="clear" w:color="ECECEC" w:fill="ECECEC"/>
      </w:tcPr>
    </w:tblStylePr>
    <w:tblStylePr w:type="band1Horz">
      <w:rPr>
        <w:rFonts w:ascii="Arial" w:hAnsi="Arial"/>
        <w:color w:val="404040"/>
        <w:sz w:val="22"/>
      </w:rPr>
    </w:tblStylePr>
    <w:tblStylePr w:type="band2Horz">
      <w:rPr>
        <w:rFonts w:ascii="Arial" w:hAnsi="Arial"/>
        <w:color w:val="404040"/>
        <w:sz w:val="22"/>
      </w:rPr>
      <w:tcPr>
        <w:shd w:val="clear" w:color="ECECEC" w:fill="ECECEC"/>
      </w:tcPr>
    </w:tblStylePr>
    <w:tblStylePr w:type="neCell"/>
    <w:tblStylePr w:type="nwCell"/>
    <w:tblStylePr w:type="seCell"/>
    <w:tblStylePr w:type="swCell"/>
  </w:style>
  <w:style w:type="table" w:customStyle="1" w:styleId="145">
    <w:name w:val="Lined - Accent 4"/>
    <w:basedOn w:val="3"/>
    <w:qFormat/>
    <w:uiPriority w:val="99"/>
    <w:pPr>
      <w:spacing w:after="0" w:line="240" w:lineRule="auto"/>
    </w:pPr>
    <w:rPr>
      <w:color w:val="404040"/>
    </w:rPr>
    <w:tblStylePr w:type="firstRow">
      <w:rPr>
        <w:rFonts w:ascii="Arial" w:hAnsi="Arial"/>
        <w:color w:val="F2F2F2"/>
        <w:sz w:val="22"/>
      </w:rPr>
      <w:tcPr>
        <w:shd w:val="clear" w:color="FFD864" w:fill="FFD864"/>
      </w:tcPr>
    </w:tblStylePr>
    <w:tblStylePr w:type="lastRow">
      <w:rPr>
        <w:rFonts w:ascii="Arial" w:hAnsi="Arial"/>
        <w:color w:val="F2F2F2"/>
        <w:sz w:val="22"/>
      </w:rPr>
      <w:tcPr>
        <w:shd w:val="clear" w:color="FFD864" w:fill="FFD864"/>
      </w:tcPr>
    </w:tblStylePr>
    <w:tblStylePr w:type="firstCol">
      <w:rPr>
        <w:rFonts w:ascii="Arial" w:hAnsi="Arial"/>
        <w:color w:val="F2F2F2"/>
        <w:sz w:val="22"/>
      </w:rPr>
      <w:tcPr>
        <w:shd w:val="clear" w:color="FFD864" w:fill="FFD864"/>
      </w:tcPr>
    </w:tblStylePr>
    <w:tblStylePr w:type="lastCol">
      <w:rPr>
        <w:rFonts w:ascii="Arial" w:hAnsi="Arial"/>
        <w:color w:val="F2F2F2"/>
        <w:sz w:val="22"/>
      </w:rPr>
      <w:tcPr>
        <w:shd w:val="clear" w:color="FFD864" w:fill="FFD864"/>
      </w:tcPr>
    </w:tblStylePr>
    <w:tblStylePr w:type="band1Vert">
      <w:rPr>
        <w:rFonts w:ascii="Arial" w:hAnsi="Arial"/>
        <w:color w:val="404040"/>
        <w:sz w:val="22"/>
      </w:rPr>
    </w:tblStylePr>
    <w:tblStylePr w:type="band2Vert">
      <w:rPr>
        <w:rFonts w:ascii="Arial" w:hAnsi="Arial"/>
        <w:color w:val="404040"/>
        <w:sz w:val="22"/>
      </w:rPr>
      <w:tcPr>
        <w:shd w:val="clear" w:color="FEF2CA" w:fill="FEF2CA"/>
      </w:tcPr>
    </w:tblStylePr>
    <w:tblStylePr w:type="band1Horz">
      <w:rPr>
        <w:rFonts w:ascii="Arial" w:hAnsi="Arial"/>
        <w:color w:val="404040"/>
        <w:sz w:val="22"/>
      </w:rPr>
    </w:tblStylePr>
    <w:tblStylePr w:type="band2Horz">
      <w:rPr>
        <w:rFonts w:ascii="Arial" w:hAnsi="Arial"/>
        <w:color w:val="404040"/>
        <w:sz w:val="22"/>
      </w:rPr>
      <w:tcPr>
        <w:shd w:val="clear" w:color="FEF2CA" w:fill="FEF2CA"/>
      </w:tcPr>
    </w:tblStylePr>
    <w:tblStylePr w:type="neCell"/>
    <w:tblStylePr w:type="nwCell"/>
    <w:tblStylePr w:type="seCell"/>
    <w:tblStylePr w:type="swCell"/>
  </w:style>
  <w:style w:type="table" w:customStyle="1" w:styleId="146">
    <w:name w:val="Lined - Accent 5"/>
    <w:basedOn w:val="3"/>
    <w:qFormat/>
    <w:uiPriority w:val="99"/>
    <w:pPr>
      <w:spacing w:after="0" w:line="240" w:lineRule="auto"/>
    </w:pPr>
    <w:rPr>
      <w:color w:val="404040"/>
    </w:rPr>
    <w:tblStylePr w:type="firstRow">
      <w:rPr>
        <w:rFonts w:ascii="Arial" w:hAnsi="Arial"/>
        <w:color w:val="F2F2F2"/>
        <w:sz w:val="22"/>
      </w:rPr>
      <w:tcPr>
        <w:shd w:val="clear" w:color="4472C4" w:fill="4472C4"/>
      </w:tcPr>
    </w:tblStylePr>
    <w:tblStylePr w:type="lastRow">
      <w:rPr>
        <w:rFonts w:ascii="Arial" w:hAnsi="Arial"/>
        <w:color w:val="F2F2F2"/>
        <w:sz w:val="22"/>
      </w:rPr>
      <w:tcPr>
        <w:shd w:val="clear" w:color="4472C4" w:fill="4472C4"/>
      </w:tcPr>
    </w:tblStylePr>
    <w:tblStylePr w:type="firstCol">
      <w:rPr>
        <w:rFonts w:ascii="Arial" w:hAnsi="Arial"/>
        <w:color w:val="F2F2F2"/>
        <w:sz w:val="22"/>
      </w:rPr>
      <w:tcPr>
        <w:shd w:val="clear" w:color="4472C4" w:fill="4472C4"/>
      </w:tcPr>
    </w:tblStylePr>
    <w:tblStylePr w:type="lastCol">
      <w:rPr>
        <w:rFonts w:ascii="Arial" w:hAnsi="Arial"/>
        <w:color w:val="F2F2F2"/>
        <w:sz w:val="22"/>
      </w:rPr>
      <w:tcPr>
        <w:shd w:val="clear" w:color="4472C4" w:fill="4472C4"/>
      </w:tcPr>
    </w:tblStylePr>
    <w:tblStylePr w:type="band1Vert">
      <w:rPr>
        <w:rFonts w:ascii="Arial" w:hAnsi="Arial"/>
        <w:color w:val="404040"/>
        <w:sz w:val="22"/>
      </w:rPr>
    </w:tblStylePr>
    <w:tblStylePr w:type="band2Vert">
      <w:rPr>
        <w:rFonts w:ascii="Arial" w:hAnsi="Arial"/>
        <w:color w:val="404040"/>
        <w:sz w:val="22"/>
      </w:rPr>
      <w:tcPr>
        <w:shd w:val="clear" w:color="D8E2F2" w:fill="D8E2F2"/>
      </w:tcPr>
    </w:tblStylePr>
    <w:tblStylePr w:type="band1Horz">
      <w:rPr>
        <w:rFonts w:ascii="Arial" w:hAnsi="Arial"/>
        <w:color w:val="404040"/>
        <w:sz w:val="22"/>
      </w:rPr>
    </w:tblStylePr>
    <w:tblStylePr w:type="band2Horz">
      <w:rPr>
        <w:rFonts w:ascii="Arial" w:hAnsi="Arial"/>
        <w:color w:val="404040"/>
        <w:sz w:val="22"/>
      </w:rPr>
      <w:tcPr>
        <w:shd w:val="clear" w:color="D8E2F2" w:fill="D8E2F2"/>
      </w:tcPr>
    </w:tblStylePr>
    <w:tblStylePr w:type="neCell"/>
    <w:tblStylePr w:type="nwCell"/>
    <w:tblStylePr w:type="seCell"/>
    <w:tblStylePr w:type="swCell"/>
  </w:style>
  <w:style w:type="table" w:customStyle="1" w:styleId="147">
    <w:name w:val="Lined - Accent 6"/>
    <w:basedOn w:val="3"/>
    <w:qFormat/>
    <w:uiPriority w:val="99"/>
    <w:pPr>
      <w:spacing w:after="0" w:line="240" w:lineRule="auto"/>
    </w:pPr>
    <w:rPr>
      <w:color w:val="404040"/>
    </w:rPr>
    <w:tblStylePr w:type="firstRow">
      <w:rPr>
        <w:rFonts w:ascii="Arial" w:hAnsi="Arial"/>
        <w:color w:val="F2F2F2"/>
        <w:sz w:val="22"/>
      </w:rPr>
      <w:tcPr>
        <w:shd w:val="clear" w:color="70AD47" w:fill="70AD47"/>
      </w:tcPr>
    </w:tblStylePr>
    <w:tblStylePr w:type="lastRow">
      <w:rPr>
        <w:rFonts w:ascii="Arial" w:hAnsi="Arial"/>
        <w:color w:val="F2F2F2"/>
        <w:sz w:val="22"/>
      </w:rPr>
      <w:tcPr>
        <w:shd w:val="clear" w:color="70AD47" w:fill="70AD47"/>
      </w:tcPr>
    </w:tblStylePr>
    <w:tblStylePr w:type="firstCol">
      <w:rPr>
        <w:rFonts w:ascii="Arial" w:hAnsi="Arial"/>
        <w:color w:val="F2F2F2"/>
        <w:sz w:val="22"/>
      </w:rPr>
      <w:tcPr>
        <w:shd w:val="clear" w:color="70AD47" w:fill="70AD47"/>
      </w:tcPr>
    </w:tblStylePr>
    <w:tblStylePr w:type="lastCol">
      <w:rPr>
        <w:rFonts w:ascii="Arial" w:hAnsi="Arial"/>
        <w:color w:val="F2F2F2"/>
        <w:sz w:val="22"/>
      </w:rPr>
      <w:tcPr>
        <w:shd w:val="clear" w:color="70AD47" w:fill="70AD47"/>
      </w:tcPr>
    </w:tblStylePr>
    <w:tblStylePr w:type="band1Vert">
      <w:rPr>
        <w:rFonts w:ascii="Arial" w:hAnsi="Arial"/>
        <w:color w:val="404040"/>
        <w:sz w:val="22"/>
      </w:rPr>
    </w:tblStylePr>
    <w:tblStylePr w:type="band2Vert">
      <w:rPr>
        <w:rFonts w:ascii="Arial" w:hAnsi="Arial"/>
        <w:color w:val="404040"/>
        <w:sz w:val="22"/>
      </w:rPr>
      <w:tcPr>
        <w:shd w:val="clear" w:color="E1EFD8" w:fill="E1EFD8"/>
      </w:tcPr>
    </w:tblStylePr>
    <w:tblStylePr w:type="band1Horz">
      <w:rPr>
        <w:rFonts w:ascii="Arial" w:hAnsi="Arial"/>
        <w:color w:val="404040"/>
        <w:sz w:val="22"/>
      </w:rPr>
    </w:tblStylePr>
    <w:tblStylePr w:type="band2Horz">
      <w:rPr>
        <w:rFonts w:ascii="Arial" w:hAnsi="Arial"/>
        <w:color w:val="404040"/>
        <w:sz w:val="22"/>
      </w:rPr>
      <w:tcPr>
        <w:shd w:val="clear" w:color="E1EFD8" w:fill="E1EFD8"/>
      </w:tcPr>
    </w:tblStylePr>
    <w:tblStylePr w:type="neCell"/>
    <w:tblStylePr w:type="nwCell"/>
    <w:tblStylePr w:type="seCell"/>
    <w:tblStylePr w:type="swCell"/>
  </w:style>
  <w:style w:type="table" w:customStyle="1" w:styleId="148">
    <w:name w:val="Bordered &amp; Lined - Accent"/>
    <w:basedOn w:val="3"/>
    <w:qFormat/>
    <w:uiPriority w:val="99"/>
    <w:pPr>
      <w:spacing w:after="0" w:line="240" w:lineRule="auto"/>
    </w:pPr>
    <w:rPr>
      <w:color w:val="404040"/>
    </w:rPr>
    <w:tblPr>
      <w:tblBorders>
        <w:top w:val="single" w:color="585858" w:themeColor="text1" w:themeTint="A6" w:sz="4" w:space="0"/>
        <w:left w:val="single" w:color="585858" w:themeColor="text1" w:themeTint="A6" w:sz="4" w:space="0"/>
        <w:bottom w:val="single" w:color="585858" w:themeColor="text1" w:themeTint="A6" w:sz="4" w:space="0"/>
        <w:right w:val="single" w:color="585858" w:themeColor="text1" w:themeTint="A6" w:sz="4" w:space="0"/>
        <w:insideH w:val="single" w:color="585858" w:themeColor="text1" w:themeTint="A6" w:sz="4" w:space="0"/>
        <w:insideV w:val="single" w:color="585858" w:themeColor="text1" w:themeTint="A6" w:sz="4" w:space="0"/>
      </w:tblBorders>
    </w:tblPr>
    <w:tblStylePr w:type="firstRow">
      <w:rPr>
        <w:rFonts w:ascii="Arial" w:hAnsi="Arial"/>
        <w:color w:val="F2F2F2"/>
        <w:sz w:val="22"/>
      </w:rPr>
      <w:tcPr>
        <w:shd w:val="clear" w:color="7E7E7E" w:fill="7E7E7E"/>
      </w:tcPr>
    </w:tblStylePr>
    <w:tblStylePr w:type="lastRow">
      <w:rPr>
        <w:rFonts w:ascii="Arial" w:hAnsi="Arial"/>
        <w:color w:val="F2F2F2"/>
        <w:sz w:val="22"/>
      </w:rPr>
      <w:tcPr>
        <w:shd w:val="clear" w:color="7E7E7E" w:fill="7E7E7E"/>
      </w:tcPr>
    </w:tblStylePr>
    <w:tblStylePr w:type="firstCol">
      <w:rPr>
        <w:rFonts w:ascii="Arial" w:hAnsi="Arial"/>
        <w:color w:val="F2F2F2"/>
        <w:sz w:val="22"/>
      </w:rPr>
      <w:tcPr>
        <w:shd w:val="clear" w:color="7E7E7E" w:fill="7E7E7E"/>
      </w:tcPr>
    </w:tblStylePr>
    <w:tblStylePr w:type="lastCol">
      <w:rPr>
        <w:rFonts w:ascii="Arial" w:hAnsi="Arial"/>
        <w:color w:val="F2F2F2"/>
        <w:sz w:val="22"/>
      </w:rPr>
      <w:tcPr>
        <w:shd w:val="clear" w:color="7E7E7E" w:fill="7E7E7E"/>
      </w:tcPr>
    </w:tblStylePr>
    <w:tblStylePr w:type="band1Vert">
      <w:rPr>
        <w:rFonts w:ascii="Arial" w:hAnsi="Arial"/>
        <w:color w:val="404040"/>
        <w:sz w:val="22"/>
      </w:rPr>
    </w:tblStylePr>
    <w:tblStylePr w:type="band2Vert">
      <w:rPr>
        <w:rFonts w:ascii="Arial" w:hAnsi="Arial"/>
        <w:color w:val="404040"/>
        <w:sz w:val="22"/>
      </w:rPr>
      <w:tcPr>
        <w:shd w:val="clear" w:color="F1F1F1" w:fill="F1F1F1"/>
      </w:tcPr>
    </w:tblStylePr>
    <w:tblStylePr w:type="band1Horz">
      <w:rPr>
        <w:rFonts w:ascii="Arial" w:hAnsi="Arial"/>
        <w:color w:val="404040"/>
        <w:sz w:val="22"/>
      </w:rPr>
    </w:tblStylePr>
    <w:tblStylePr w:type="band2Horz">
      <w:rPr>
        <w:rFonts w:ascii="Arial" w:hAnsi="Arial"/>
        <w:color w:val="404040"/>
        <w:sz w:val="22"/>
      </w:rPr>
      <w:tcPr>
        <w:shd w:val="clear" w:color="F1F1F1" w:fill="F1F1F1"/>
      </w:tcPr>
    </w:tblStylePr>
    <w:tblStylePr w:type="neCell"/>
    <w:tblStylePr w:type="nwCell"/>
    <w:tblStylePr w:type="seCell"/>
    <w:tblStylePr w:type="swCell"/>
  </w:style>
  <w:style w:type="table" w:customStyle="1" w:styleId="149">
    <w:name w:val="Bordered &amp; Lined - Accent 1"/>
    <w:basedOn w:val="3"/>
    <w:qFormat/>
    <w:uiPriority w:val="99"/>
    <w:pPr>
      <w:spacing w:after="0" w:line="240" w:lineRule="auto"/>
    </w:pPr>
    <w:rPr>
      <w:color w:val="404040"/>
    </w:rPr>
    <w:tblPr>
      <w:tblBorders>
        <w:top w:val="single" w:color="245B8D" w:themeColor="accent1" w:themeShade="95" w:sz="4" w:space="0"/>
        <w:left w:val="single" w:color="245B8D" w:themeColor="accent1" w:themeShade="95" w:sz="4" w:space="0"/>
        <w:bottom w:val="single" w:color="245B8D" w:themeColor="accent1" w:themeShade="95" w:sz="4" w:space="0"/>
        <w:right w:val="single" w:color="245B8D" w:themeColor="accent1" w:themeShade="95" w:sz="4" w:space="0"/>
        <w:insideH w:val="single" w:color="245B8D" w:themeColor="accent1" w:themeShade="95" w:sz="4" w:space="0"/>
        <w:insideV w:val="single" w:color="245B8D" w:themeColor="accent1" w:themeShade="95" w:sz="4" w:space="0"/>
      </w:tblBorders>
    </w:tblPr>
    <w:tblStylePr w:type="firstRow">
      <w:rPr>
        <w:rFonts w:ascii="Arial" w:hAnsi="Arial"/>
        <w:color w:val="F2F2F2"/>
        <w:sz w:val="22"/>
      </w:rPr>
      <w:tcPr>
        <w:shd w:val="clear" w:color="68A3D8" w:fill="68A3D8"/>
      </w:tcPr>
    </w:tblStylePr>
    <w:tblStylePr w:type="lastRow">
      <w:rPr>
        <w:rFonts w:ascii="Arial" w:hAnsi="Arial"/>
        <w:color w:val="F2F2F2"/>
        <w:sz w:val="22"/>
      </w:rPr>
      <w:tcPr>
        <w:shd w:val="clear" w:color="68A3D8" w:fill="68A3D8"/>
      </w:tcPr>
    </w:tblStylePr>
    <w:tblStylePr w:type="firstCol">
      <w:rPr>
        <w:rFonts w:ascii="Arial" w:hAnsi="Arial"/>
        <w:color w:val="F2F2F2"/>
        <w:sz w:val="22"/>
      </w:rPr>
      <w:tcPr>
        <w:shd w:val="clear" w:color="68A3D8" w:fill="68A3D8"/>
      </w:tcPr>
    </w:tblStylePr>
    <w:tblStylePr w:type="lastCol">
      <w:rPr>
        <w:rFonts w:ascii="Arial" w:hAnsi="Arial"/>
        <w:color w:val="F2F2F2"/>
        <w:sz w:val="22"/>
      </w:rPr>
      <w:tcPr>
        <w:shd w:val="clear" w:color="68A3D8" w:fill="68A3D8"/>
      </w:tcPr>
    </w:tblStylePr>
    <w:tblStylePr w:type="band1Vert">
      <w:rPr>
        <w:rFonts w:ascii="Arial" w:hAnsi="Arial"/>
        <w:color w:val="404040"/>
        <w:sz w:val="22"/>
      </w:rPr>
    </w:tblStylePr>
    <w:tblStylePr w:type="band2Vert">
      <w:rPr>
        <w:rFonts w:ascii="Arial" w:hAnsi="Arial"/>
        <w:color w:val="404040"/>
        <w:sz w:val="22"/>
      </w:rPr>
      <w:tcPr>
        <w:shd w:val="clear" w:color="CBDFF1" w:fill="CBDFF1"/>
      </w:tcPr>
    </w:tblStylePr>
    <w:tblStylePr w:type="band1Horz">
      <w:rPr>
        <w:rFonts w:ascii="Arial" w:hAnsi="Arial"/>
        <w:color w:val="404040"/>
        <w:sz w:val="22"/>
      </w:rPr>
    </w:tblStylePr>
    <w:tblStylePr w:type="band2Horz">
      <w:rPr>
        <w:rFonts w:ascii="Arial" w:hAnsi="Arial"/>
        <w:color w:val="404040"/>
        <w:sz w:val="22"/>
      </w:rPr>
      <w:tcPr>
        <w:shd w:val="clear" w:color="CBDFF1" w:fill="CBDFF1"/>
      </w:tcPr>
    </w:tblStylePr>
    <w:tblStylePr w:type="neCell"/>
    <w:tblStylePr w:type="nwCell"/>
    <w:tblStylePr w:type="seCell"/>
    <w:tblStylePr w:type="swCell"/>
  </w:style>
  <w:style w:type="table" w:customStyle="1" w:styleId="150">
    <w:name w:val="Bordered &amp; Lined - Accent 2"/>
    <w:basedOn w:val="3"/>
    <w:qFormat/>
    <w:uiPriority w:val="99"/>
    <w:pPr>
      <w:spacing w:after="0" w:line="240" w:lineRule="auto"/>
    </w:pPr>
    <w:rPr>
      <w:color w:val="404040"/>
    </w:rPr>
    <w:tblPr>
      <w:tblBorders>
        <w:top w:val="single" w:color="99460D" w:themeColor="accent2" w:themeShade="95" w:sz="4" w:space="0"/>
        <w:left w:val="single" w:color="99460D" w:themeColor="accent2" w:themeShade="95" w:sz="4" w:space="0"/>
        <w:bottom w:val="single" w:color="99460D" w:themeColor="accent2" w:themeShade="95" w:sz="4" w:space="0"/>
        <w:right w:val="single" w:color="99460D" w:themeColor="accent2" w:themeShade="95" w:sz="4" w:space="0"/>
        <w:insideH w:val="single" w:color="99460D" w:themeColor="accent2" w:themeShade="95" w:sz="4" w:space="0"/>
        <w:insideV w:val="single" w:color="99460D" w:themeColor="accent2" w:themeShade="95" w:sz="4" w:space="0"/>
      </w:tblBorders>
    </w:tblPr>
    <w:tblStylePr w:type="firstRow">
      <w:rPr>
        <w:rFonts w:ascii="Arial" w:hAnsi="Arial"/>
        <w:color w:val="F2F2F2"/>
        <w:sz w:val="22"/>
      </w:rPr>
      <w:tcPr>
        <w:shd w:val="clear" w:color="F4B285" w:fill="F4B285"/>
      </w:tcPr>
    </w:tblStylePr>
    <w:tblStylePr w:type="lastRow">
      <w:rPr>
        <w:rFonts w:ascii="Arial" w:hAnsi="Arial"/>
        <w:color w:val="F2F2F2"/>
        <w:sz w:val="22"/>
      </w:rPr>
      <w:tcPr>
        <w:shd w:val="clear" w:color="F4B285" w:fill="F4B285"/>
      </w:tcPr>
    </w:tblStylePr>
    <w:tblStylePr w:type="firstCol">
      <w:rPr>
        <w:rFonts w:ascii="Arial" w:hAnsi="Arial"/>
        <w:color w:val="F2F2F2"/>
        <w:sz w:val="22"/>
      </w:rPr>
      <w:tcPr>
        <w:shd w:val="clear" w:color="F4B285" w:fill="F4B285"/>
      </w:tcPr>
    </w:tblStylePr>
    <w:tblStylePr w:type="lastCol">
      <w:rPr>
        <w:rFonts w:ascii="Arial" w:hAnsi="Arial"/>
        <w:color w:val="F2F2F2"/>
        <w:sz w:val="22"/>
      </w:rPr>
      <w:tcPr>
        <w:shd w:val="clear" w:color="F4B285" w:fill="F4B285"/>
      </w:tcPr>
    </w:tblStylePr>
    <w:tblStylePr w:type="band1Vert">
      <w:rPr>
        <w:rFonts w:ascii="Arial" w:hAnsi="Arial"/>
        <w:color w:val="404040"/>
        <w:sz w:val="22"/>
      </w:rPr>
    </w:tblStylePr>
    <w:tblStylePr w:type="band2Vert">
      <w:rPr>
        <w:rFonts w:ascii="Arial" w:hAnsi="Arial"/>
        <w:color w:val="404040"/>
        <w:sz w:val="22"/>
      </w:rPr>
      <w:tcPr>
        <w:shd w:val="clear" w:color="FBE5D6" w:fill="FBE5D6"/>
      </w:tcPr>
    </w:tblStylePr>
    <w:tblStylePr w:type="band1Horz">
      <w:rPr>
        <w:rFonts w:ascii="Arial" w:hAnsi="Arial"/>
        <w:color w:val="404040"/>
        <w:sz w:val="22"/>
      </w:rPr>
    </w:tblStylePr>
    <w:tblStylePr w:type="band2Horz">
      <w:rPr>
        <w:rFonts w:ascii="Arial" w:hAnsi="Arial"/>
        <w:color w:val="404040"/>
        <w:sz w:val="22"/>
      </w:rPr>
      <w:tcPr>
        <w:shd w:val="clear" w:color="FBE5D6" w:fill="FBE5D6"/>
      </w:tcPr>
    </w:tblStylePr>
    <w:tblStylePr w:type="neCell"/>
    <w:tblStylePr w:type="nwCell"/>
    <w:tblStylePr w:type="seCell"/>
    <w:tblStylePr w:type="swCell"/>
  </w:style>
  <w:style w:type="table" w:customStyle="1" w:styleId="151">
    <w:name w:val="Bordered &amp; Lined - Accent 3"/>
    <w:basedOn w:val="3"/>
    <w:qFormat/>
    <w:uiPriority w:val="99"/>
    <w:pPr>
      <w:spacing w:after="0" w:line="240" w:lineRule="auto"/>
    </w:pPr>
    <w:rPr>
      <w:color w:val="404040"/>
    </w:rPr>
    <w:tblPr>
      <w:tblBorders>
        <w:top w:val="single" w:color="606060" w:themeColor="accent3" w:themeShade="95" w:sz="4" w:space="0"/>
        <w:left w:val="single" w:color="606060" w:themeColor="accent3" w:themeShade="95" w:sz="4" w:space="0"/>
        <w:bottom w:val="single" w:color="606060" w:themeColor="accent3" w:themeShade="95" w:sz="4" w:space="0"/>
        <w:right w:val="single" w:color="606060" w:themeColor="accent3" w:themeShade="95" w:sz="4" w:space="0"/>
        <w:insideH w:val="single" w:color="606060" w:themeColor="accent3" w:themeShade="95" w:sz="4" w:space="0"/>
        <w:insideV w:val="single" w:color="606060" w:themeColor="accent3" w:themeShade="95" w:sz="4" w:space="0"/>
      </w:tblBorders>
    </w:tblPr>
    <w:tblStylePr w:type="firstRow">
      <w:rPr>
        <w:rFonts w:ascii="Arial" w:hAnsi="Arial"/>
        <w:color w:val="F2F2F2"/>
        <w:sz w:val="22"/>
      </w:rPr>
      <w:tcPr>
        <w:shd w:val="clear" w:color="A5A5A5" w:fill="A5A5A5"/>
      </w:tcPr>
    </w:tblStylePr>
    <w:tblStylePr w:type="lastRow">
      <w:rPr>
        <w:rFonts w:ascii="Arial" w:hAnsi="Arial"/>
        <w:color w:val="F2F2F2"/>
        <w:sz w:val="22"/>
      </w:rPr>
      <w:tcPr>
        <w:shd w:val="clear" w:color="A5A5A5" w:fill="A5A5A5"/>
      </w:tcPr>
    </w:tblStylePr>
    <w:tblStylePr w:type="firstCol">
      <w:rPr>
        <w:rFonts w:ascii="Arial" w:hAnsi="Arial"/>
        <w:color w:val="F2F2F2"/>
        <w:sz w:val="22"/>
      </w:rPr>
      <w:tcPr>
        <w:shd w:val="clear" w:color="A5A5A5" w:fill="A5A5A5"/>
      </w:tcPr>
    </w:tblStylePr>
    <w:tblStylePr w:type="lastCol">
      <w:rPr>
        <w:rFonts w:ascii="Arial" w:hAnsi="Arial"/>
        <w:color w:val="F2F2F2"/>
        <w:sz w:val="22"/>
      </w:rPr>
      <w:tcPr>
        <w:shd w:val="clear" w:color="A5A5A5" w:fill="A5A5A5"/>
      </w:tcPr>
    </w:tblStylePr>
    <w:tblStylePr w:type="band1Vert">
      <w:rPr>
        <w:rFonts w:ascii="Arial" w:hAnsi="Arial"/>
        <w:color w:val="404040"/>
        <w:sz w:val="22"/>
      </w:rPr>
    </w:tblStylePr>
    <w:tblStylePr w:type="band2Vert">
      <w:rPr>
        <w:rFonts w:ascii="Arial" w:hAnsi="Arial"/>
        <w:color w:val="404040"/>
        <w:sz w:val="22"/>
      </w:rPr>
      <w:tcPr>
        <w:shd w:val="clear" w:color="ECECEC" w:fill="ECECEC"/>
      </w:tcPr>
    </w:tblStylePr>
    <w:tblStylePr w:type="band1Horz">
      <w:rPr>
        <w:rFonts w:ascii="Arial" w:hAnsi="Arial"/>
        <w:color w:val="404040"/>
        <w:sz w:val="22"/>
      </w:rPr>
    </w:tblStylePr>
    <w:tblStylePr w:type="band2Horz">
      <w:rPr>
        <w:rFonts w:ascii="Arial" w:hAnsi="Arial"/>
        <w:color w:val="404040"/>
        <w:sz w:val="22"/>
      </w:rPr>
      <w:tcPr>
        <w:shd w:val="clear" w:color="ECECEC" w:fill="ECECEC"/>
      </w:tcPr>
    </w:tblStylePr>
    <w:tblStylePr w:type="neCell"/>
    <w:tblStylePr w:type="nwCell"/>
    <w:tblStylePr w:type="seCell"/>
    <w:tblStylePr w:type="swCell"/>
  </w:style>
  <w:style w:type="table" w:customStyle="1" w:styleId="152">
    <w:name w:val="Bordered &amp; Lined - Accent 4"/>
    <w:basedOn w:val="3"/>
    <w:qFormat/>
    <w:uiPriority w:val="99"/>
    <w:pPr>
      <w:spacing w:after="0" w:line="240" w:lineRule="auto"/>
    </w:pPr>
    <w:rPr>
      <w:color w:val="404040"/>
    </w:rPr>
    <w:tblPr>
      <w:tblBorders>
        <w:top w:val="single" w:color="947000" w:themeColor="accent4" w:themeShade="95" w:sz="4" w:space="0"/>
        <w:left w:val="single" w:color="947000" w:themeColor="accent4" w:themeShade="95" w:sz="4" w:space="0"/>
        <w:bottom w:val="single" w:color="947000" w:themeColor="accent4" w:themeShade="95" w:sz="4" w:space="0"/>
        <w:right w:val="single" w:color="947000" w:themeColor="accent4" w:themeShade="95" w:sz="4" w:space="0"/>
        <w:insideH w:val="single" w:color="947000" w:themeColor="accent4" w:themeShade="95" w:sz="4" w:space="0"/>
        <w:insideV w:val="single" w:color="947000" w:themeColor="accent4" w:themeShade="95" w:sz="4" w:space="0"/>
      </w:tblBorders>
    </w:tblPr>
    <w:tblStylePr w:type="firstRow">
      <w:rPr>
        <w:rFonts w:ascii="Arial" w:hAnsi="Arial"/>
        <w:color w:val="F2F2F2"/>
        <w:sz w:val="22"/>
      </w:rPr>
      <w:tcPr>
        <w:shd w:val="clear" w:color="FFD864" w:fill="FFD864"/>
      </w:tcPr>
    </w:tblStylePr>
    <w:tblStylePr w:type="lastRow">
      <w:rPr>
        <w:rFonts w:ascii="Arial" w:hAnsi="Arial"/>
        <w:color w:val="F2F2F2"/>
        <w:sz w:val="22"/>
      </w:rPr>
      <w:tcPr>
        <w:shd w:val="clear" w:color="FFD864" w:fill="FFD864"/>
      </w:tcPr>
    </w:tblStylePr>
    <w:tblStylePr w:type="firstCol">
      <w:rPr>
        <w:rFonts w:ascii="Arial" w:hAnsi="Arial"/>
        <w:color w:val="F2F2F2"/>
        <w:sz w:val="22"/>
      </w:rPr>
      <w:tcPr>
        <w:shd w:val="clear" w:color="FFD864" w:fill="FFD864"/>
      </w:tcPr>
    </w:tblStylePr>
    <w:tblStylePr w:type="lastCol">
      <w:rPr>
        <w:rFonts w:ascii="Arial" w:hAnsi="Arial"/>
        <w:color w:val="F2F2F2"/>
        <w:sz w:val="22"/>
      </w:rPr>
      <w:tcPr>
        <w:shd w:val="clear" w:color="FFD864" w:fill="FFD864"/>
      </w:tcPr>
    </w:tblStylePr>
    <w:tblStylePr w:type="band1Vert">
      <w:rPr>
        <w:rFonts w:ascii="Arial" w:hAnsi="Arial"/>
        <w:color w:val="404040"/>
        <w:sz w:val="22"/>
      </w:rPr>
    </w:tblStylePr>
    <w:tblStylePr w:type="band2Vert">
      <w:rPr>
        <w:rFonts w:ascii="Arial" w:hAnsi="Arial"/>
        <w:color w:val="404040"/>
        <w:sz w:val="22"/>
      </w:rPr>
      <w:tcPr>
        <w:shd w:val="clear" w:color="FEF2CA" w:fill="FEF2CA"/>
      </w:tcPr>
    </w:tblStylePr>
    <w:tblStylePr w:type="band1Horz">
      <w:rPr>
        <w:rFonts w:ascii="Arial" w:hAnsi="Arial"/>
        <w:color w:val="404040"/>
        <w:sz w:val="22"/>
      </w:rPr>
    </w:tblStylePr>
    <w:tblStylePr w:type="band2Horz">
      <w:rPr>
        <w:rFonts w:ascii="Arial" w:hAnsi="Arial"/>
        <w:color w:val="404040"/>
        <w:sz w:val="22"/>
      </w:rPr>
      <w:tcPr>
        <w:shd w:val="clear" w:color="FEF2CA" w:fill="FEF2CA"/>
      </w:tcPr>
    </w:tblStylePr>
    <w:tblStylePr w:type="neCell"/>
    <w:tblStylePr w:type="nwCell"/>
    <w:tblStylePr w:type="seCell"/>
    <w:tblStylePr w:type="swCell"/>
  </w:style>
  <w:style w:type="table" w:customStyle="1" w:styleId="153">
    <w:name w:val="Bordered &amp; Lined - Accent 5"/>
    <w:basedOn w:val="3"/>
    <w:qFormat/>
    <w:uiPriority w:val="99"/>
    <w:pPr>
      <w:spacing w:after="0" w:line="240" w:lineRule="auto"/>
    </w:pPr>
    <w:rPr>
      <w:color w:val="404040"/>
    </w:rPr>
    <w:tblPr>
      <w:tblBorders>
        <w:top w:val="single" w:color="244175" w:themeColor="accent5" w:themeShade="95" w:sz="4" w:space="0"/>
        <w:left w:val="single" w:color="244175" w:themeColor="accent5" w:themeShade="95" w:sz="4" w:space="0"/>
        <w:bottom w:val="single" w:color="244175" w:themeColor="accent5" w:themeShade="95" w:sz="4" w:space="0"/>
        <w:right w:val="single" w:color="244175" w:themeColor="accent5" w:themeShade="95" w:sz="4" w:space="0"/>
        <w:insideH w:val="single" w:color="244175" w:themeColor="accent5" w:themeShade="95" w:sz="4" w:space="0"/>
        <w:insideV w:val="single" w:color="244175" w:themeColor="accent5" w:themeShade="95" w:sz="4" w:space="0"/>
      </w:tblBorders>
    </w:tblPr>
    <w:tblStylePr w:type="firstRow">
      <w:rPr>
        <w:rFonts w:ascii="Arial" w:hAnsi="Arial"/>
        <w:color w:val="F2F2F2"/>
        <w:sz w:val="22"/>
      </w:rPr>
      <w:tcPr>
        <w:shd w:val="clear" w:color="4472C4" w:fill="4472C4"/>
      </w:tcPr>
    </w:tblStylePr>
    <w:tblStylePr w:type="lastRow">
      <w:rPr>
        <w:rFonts w:ascii="Arial" w:hAnsi="Arial"/>
        <w:color w:val="F2F2F2"/>
        <w:sz w:val="22"/>
      </w:rPr>
      <w:tcPr>
        <w:shd w:val="clear" w:color="4472C4" w:fill="4472C4"/>
      </w:tcPr>
    </w:tblStylePr>
    <w:tblStylePr w:type="firstCol">
      <w:rPr>
        <w:rFonts w:ascii="Arial" w:hAnsi="Arial"/>
        <w:color w:val="F2F2F2"/>
        <w:sz w:val="22"/>
      </w:rPr>
      <w:tcPr>
        <w:shd w:val="clear" w:color="4472C4" w:fill="4472C4"/>
      </w:tcPr>
    </w:tblStylePr>
    <w:tblStylePr w:type="lastCol">
      <w:rPr>
        <w:rFonts w:ascii="Arial" w:hAnsi="Arial"/>
        <w:color w:val="F2F2F2"/>
        <w:sz w:val="22"/>
      </w:rPr>
      <w:tcPr>
        <w:shd w:val="clear" w:color="4472C4" w:fill="4472C4"/>
      </w:tcPr>
    </w:tblStylePr>
    <w:tblStylePr w:type="band1Vert">
      <w:rPr>
        <w:rFonts w:ascii="Arial" w:hAnsi="Arial"/>
        <w:color w:val="404040"/>
        <w:sz w:val="22"/>
      </w:rPr>
    </w:tblStylePr>
    <w:tblStylePr w:type="band2Vert">
      <w:rPr>
        <w:rFonts w:ascii="Arial" w:hAnsi="Arial"/>
        <w:color w:val="404040"/>
        <w:sz w:val="22"/>
      </w:rPr>
      <w:tcPr>
        <w:shd w:val="clear" w:color="D8E2F2" w:fill="D8E2F2"/>
      </w:tcPr>
    </w:tblStylePr>
    <w:tblStylePr w:type="band1Horz">
      <w:rPr>
        <w:rFonts w:ascii="Arial" w:hAnsi="Arial"/>
        <w:color w:val="404040"/>
        <w:sz w:val="22"/>
      </w:rPr>
    </w:tblStylePr>
    <w:tblStylePr w:type="band2Horz">
      <w:rPr>
        <w:rFonts w:ascii="Arial" w:hAnsi="Arial"/>
        <w:color w:val="404040"/>
        <w:sz w:val="22"/>
      </w:rPr>
      <w:tcPr>
        <w:shd w:val="clear" w:color="D8E2F2" w:fill="D8E2F2"/>
      </w:tcPr>
    </w:tblStylePr>
    <w:tblStylePr w:type="neCell"/>
    <w:tblStylePr w:type="nwCell"/>
    <w:tblStylePr w:type="seCell"/>
    <w:tblStylePr w:type="swCell"/>
  </w:style>
  <w:style w:type="table" w:customStyle="1" w:styleId="154">
    <w:name w:val="Bordered &amp; Lined - Accent 6"/>
    <w:basedOn w:val="3"/>
    <w:qFormat/>
    <w:uiPriority w:val="99"/>
    <w:pPr>
      <w:spacing w:after="0" w:line="240" w:lineRule="auto"/>
    </w:pPr>
    <w:rPr>
      <w:color w:val="404040"/>
    </w:rPr>
    <w:tblPr>
      <w:tblBorders>
        <w:top w:val="single" w:color="416529" w:themeColor="accent6" w:themeShade="95" w:sz="4" w:space="0"/>
        <w:left w:val="single" w:color="416529" w:themeColor="accent6" w:themeShade="95" w:sz="4" w:space="0"/>
        <w:bottom w:val="single" w:color="416529" w:themeColor="accent6" w:themeShade="95" w:sz="4" w:space="0"/>
        <w:right w:val="single" w:color="416529" w:themeColor="accent6" w:themeShade="95" w:sz="4" w:space="0"/>
        <w:insideH w:val="single" w:color="416529" w:themeColor="accent6" w:themeShade="95" w:sz="4" w:space="0"/>
        <w:insideV w:val="single" w:color="416529" w:themeColor="accent6" w:themeShade="95" w:sz="4" w:space="0"/>
      </w:tblBorders>
    </w:tblPr>
    <w:tblStylePr w:type="firstRow">
      <w:rPr>
        <w:rFonts w:ascii="Arial" w:hAnsi="Arial"/>
        <w:color w:val="F2F2F2"/>
        <w:sz w:val="22"/>
      </w:rPr>
      <w:tcPr>
        <w:shd w:val="clear" w:color="70AD47" w:fill="70AD47"/>
      </w:tcPr>
    </w:tblStylePr>
    <w:tblStylePr w:type="lastRow">
      <w:rPr>
        <w:rFonts w:ascii="Arial" w:hAnsi="Arial"/>
        <w:color w:val="F2F2F2"/>
        <w:sz w:val="22"/>
      </w:rPr>
      <w:tcPr>
        <w:shd w:val="clear" w:color="70AD47" w:fill="70AD47"/>
      </w:tcPr>
    </w:tblStylePr>
    <w:tblStylePr w:type="firstCol">
      <w:rPr>
        <w:rFonts w:ascii="Arial" w:hAnsi="Arial"/>
        <w:color w:val="F2F2F2"/>
        <w:sz w:val="22"/>
      </w:rPr>
      <w:tcPr>
        <w:shd w:val="clear" w:color="70AD47" w:fill="70AD47"/>
      </w:tcPr>
    </w:tblStylePr>
    <w:tblStylePr w:type="lastCol">
      <w:rPr>
        <w:rFonts w:ascii="Arial" w:hAnsi="Arial"/>
        <w:color w:val="F2F2F2"/>
        <w:sz w:val="22"/>
      </w:rPr>
      <w:tcPr>
        <w:shd w:val="clear" w:color="70AD47" w:fill="70AD47"/>
      </w:tcPr>
    </w:tblStylePr>
    <w:tblStylePr w:type="band1Vert">
      <w:rPr>
        <w:rFonts w:ascii="Arial" w:hAnsi="Arial"/>
        <w:color w:val="404040"/>
        <w:sz w:val="22"/>
      </w:rPr>
    </w:tblStylePr>
    <w:tblStylePr w:type="band2Vert">
      <w:rPr>
        <w:rFonts w:ascii="Arial" w:hAnsi="Arial"/>
        <w:color w:val="404040"/>
        <w:sz w:val="22"/>
      </w:rPr>
      <w:tcPr>
        <w:shd w:val="clear" w:color="E1EFD8" w:fill="E1EFD8"/>
      </w:tcPr>
    </w:tblStylePr>
    <w:tblStylePr w:type="band1Horz">
      <w:rPr>
        <w:rFonts w:ascii="Arial" w:hAnsi="Arial"/>
        <w:color w:val="404040"/>
        <w:sz w:val="22"/>
      </w:rPr>
    </w:tblStylePr>
    <w:tblStylePr w:type="band2Horz">
      <w:rPr>
        <w:rFonts w:ascii="Arial" w:hAnsi="Arial"/>
        <w:color w:val="404040"/>
        <w:sz w:val="22"/>
      </w:rPr>
      <w:tcPr>
        <w:shd w:val="clear" w:color="E1EFD8" w:fill="E1EFD8"/>
      </w:tcPr>
    </w:tblStylePr>
    <w:tblStylePr w:type="neCell"/>
    <w:tblStylePr w:type="nwCell"/>
    <w:tblStylePr w:type="seCell"/>
    <w:tblStylePr w:type="swCell"/>
  </w:style>
  <w:style w:type="table" w:customStyle="1" w:styleId="155">
    <w:name w:val="Bordered"/>
    <w:basedOn w:val="3"/>
    <w:qFormat/>
    <w:uiPriority w:val="99"/>
    <w:pPr>
      <w:spacing w:after="0" w:line="240" w:lineRule="auto"/>
    </w:pPr>
    <w:tblPr>
      <w:tblBorders>
        <w:top w:val="single" w:color="D8D8D8" w:themeColor="text1" w:themeTint="26" w:sz="4" w:space="0"/>
        <w:left w:val="single" w:color="D8D8D8" w:themeColor="text1" w:themeTint="26" w:sz="4" w:space="0"/>
        <w:bottom w:val="single" w:color="D8D8D8" w:themeColor="text1" w:themeTint="26" w:sz="4" w:space="0"/>
        <w:right w:val="single" w:color="D8D8D8" w:themeColor="text1" w:themeTint="26" w:sz="4" w:space="0"/>
        <w:insideH w:val="single" w:color="D8D8D8" w:themeColor="text1" w:themeTint="26" w:sz="4" w:space="0"/>
        <w:insideV w:val="single" w:color="D8D8D8" w:themeColor="text1" w:themeTint="26" w:sz="4" w:space="0"/>
      </w:tblBorders>
    </w:tblPr>
    <w:tblStylePr w:type="firstRow">
      <w:rPr>
        <w:rFonts w:ascii="Arial" w:hAnsi="Arial"/>
        <w:color w:val="404040"/>
        <w:sz w:val="22"/>
      </w:rPr>
      <w:tcPr>
        <w:tcBorders>
          <w:bottom w:val="single" w:color="7E7E7E" w:themeColor="text1" w:themeTint="80" w:sz="12" w:space="0"/>
        </w:tcBorders>
      </w:tcPr>
    </w:tblStylePr>
    <w:tblStylePr w:type="lastRow">
      <w:rPr>
        <w:rFonts w:ascii="Arial" w:hAnsi="Arial"/>
        <w:color w:val="404040"/>
        <w:sz w:val="22"/>
      </w:rPr>
      <w:tcPr>
        <w:tcBorders>
          <w:top w:val="single" w:color="7E7E7E" w:themeColor="text1" w:themeTint="80"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7E7E7E" w:themeColor="text1" w:themeTint="80" w:sz="12" w:space="0"/>
        </w:tcBorders>
      </w:tcPr>
    </w:tblStylePr>
    <w:tblStylePr w:type="band1Vert"/>
    <w:tblStylePr w:type="band2Vert"/>
    <w:tblStylePr w:type="band1Horz">
      <w:rPr>
        <w:rFonts w:ascii="Arial" w:hAnsi="Arial"/>
        <w:color w:val="404040"/>
        <w:sz w:val="22"/>
      </w:rPr>
      <w:tcPr>
        <w:tcBorders>
          <w:top w:val="single" w:color="D8D8D8" w:themeColor="text1" w:themeTint="26" w:sz="4" w:space="0"/>
          <w:left w:val="single" w:color="D8D8D8" w:themeColor="text1" w:themeTint="26" w:sz="4" w:space="0"/>
          <w:bottom w:val="single" w:color="D8D8D8" w:themeColor="text1" w:themeTint="26" w:sz="4" w:space="0"/>
          <w:right w:val="single" w:color="D8D8D8" w:themeColor="text1" w:themeTint="26" w:sz="4" w:space="0"/>
        </w:tcBorders>
      </w:tcPr>
    </w:tblStylePr>
    <w:tblStylePr w:type="band2Horz"/>
    <w:tblStylePr w:type="neCell"/>
    <w:tblStylePr w:type="nwCell"/>
    <w:tblStylePr w:type="seCell"/>
    <w:tblStylePr w:type="swCell"/>
  </w:style>
  <w:style w:type="table" w:customStyle="1" w:styleId="156">
    <w:name w:val="Bordered - Accent 1"/>
    <w:basedOn w:val="3"/>
    <w:qFormat/>
    <w:uiPriority w:val="99"/>
    <w:pPr>
      <w:spacing w:after="0" w:line="240" w:lineRule="auto"/>
    </w:pPr>
    <w:tblPr>
      <w:tbl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insideH w:val="single" w:color="BCD6EE" w:themeColor="accent1" w:themeTint="67" w:sz="4" w:space="0"/>
        <w:insideV w:val="single" w:color="BCD6EE" w:themeColor="accent1" w:themeTint="67" w:sz="4" w:space="0"/>
      </w:tblBorders>
    </w:tblPr>
    <w:tblStylePr w:type="firstRow">
      <w:rPr>
        <w:rFonts w:ascii="Arial" w:hAnsi="Arial"/>
        <w:color w:val="404040"/>
        <w:sz w:val="22"/>
      </w:rPr>
      <w:tcPr>
        <w:tcBorders>
          <w:bottom w:val="single" w:color="5B9BD5" w:themeColor="accent1" w:sz="12" w:space="0"/>
        </w:tcBorders>
      </w:tcPr>
    </w:tblStylePr>
    <w:tblStylePr w:type="lastRow">
      <w:rPr>
        <w:rFonts w:ascii="Arial" w:hAnsi="Arial"/>
        <w:color w:val="404040"/>
        <w:sz w:val="22"/>
      </w:rPr>
      <w:tcPr>
        <w:tcBorders>
          <w:top w:val="single" w:color="5B9BD5" w:themeColor="accent1"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5B9BD5" w:themeColor="accent1" w:sz="12" w:space="0"/>
        </w:tcBorders>
      </w:tcPr>
    </w:tblStylePr>
    <w:tblStylePr w:type="band1Vert"/>
    <w:tblStylePr w:type="band2Vert"/>
    <w:tblStylePr w:type="band1Horz">
      <w:rPr>
        <w:rFonts w:ascii="Arial" w:hAnsi="Arial"/>
        <w:color w:val="404040"/>
        <w:sz w:val="22"/>
      </w:rPr>
      <w:tcPr>
        <w:tc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tcBorders>
      </w:tcPr>
    </w:tblStylePr>
    <w:tblStylePr w:type="band2Horz"/>
    <w:tblStylePr w:type="neCell"/>
    <w:tblStylePr w:type="nwCell"/>
    <w:tblStylePr w:type="seCell"/>
    <w:tblStylePr w:type="swCell"/>
  </w:style>
  <w:style w:type="table" w:customStyle="1" w:styleId="157">
    <w:name w:val="Bordered - Accent 2"/>
    <w:basedOn w:val="3"/>
    <w:qFormat/>
    <w:uiPriority w:val="99"/>
    <w:pPr>
      <w:spacing w:after="0" w:line="240" w:lineRule="auto"/>
    </w:pPr>
    <w:tblPr>
      <w:tbl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insideH w:val="single" w:color="F7CAAB" w:themeColor="accent2" w:themeTint="67" w:sz="4" w:space="0"/>
        <w:insideV w:val="single" w:color="F7CAAB" w:themeColor="accent2" w:themeTint="67" w:sz="4" w:space="0"/>
      </w:tblBorders>
    </w:tblPr>
    <w:tblStylePr w:type="firstRow">
      <w:rPr>
        <w:rFonts w:ascii="Arial" w:hAnsi="Arial"/>
        <w:color w:val="404040"/>
        <w:sz w:val="22"/>
      </w:rPr>
      <w:tcPr>
        <w:tcBorders>
          <w:bottom w:val="single" w:color="F4B285" w:themeColor="accent2" w:themeTint="97" w:sz="12" w:space="0"/>
        </w:tcBorders>
      </w:tcPr>
    </w:tblStylePr>
    <w:tblStylePr w:type="lastRow">
      <w:rPr>
        <w:rFonts w:ascii="Arial" w:hAnsi="Arial"/>
        <w:color w:val="404040"/>
        <w:sz w:val="22"/>
      </w:rPr>
      <w:tcPr>
        <w:tcBorders>
          <w:top w:val="single" w:color="F4B285" w:themeColor="accent2" w:themeTint="97"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F4B285" w:themeColor="accent2" w:themeTint="97" w:sz="12" w:space="0"/>
        </w:tcBorders>
      </w:tcPr>
    </w:tblStylePr>
    <w:tblStylePr w:type="band1Vert"/>
    <w:tblStylePr w:type="band2Vert"/>
    <w:tblStylePr w:type="band1Horz">
      <w:rPr>
        <w:rFonts w:ascii="Arial" w:hAnsi="Arial"/>
        <w:color w:val="404040"/>
        <w:sz w:val="22"/>
      </w:rPr>
      <w:tcPr>
        <w:tc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tcBorders>
      </w:tcPr>
    </w:tblStylePr>
    <w:tblStylePr w:type="band2Horz"/>
    <w:tblStylePr w:type="neCell"/>
    <w:tblStylePr w:type="nwCell"/>
    <w:tblStylePr w:type="seCell"/>
    <w:tblStylePr w:type="swCell"/>
  </w:style>
  <w:style w:type="table" w:customStyle="1" w:styleId="158">
    <w:name w:val="Bordered - Accent 3"/>
    <w:basedOn w:val="3"/>
    <w:qFormat/>
    <w:uiPriority w:val="99"/>
    <w:pPr>
      <w:spacing w:after="0" w:line="240" w:lineRule="auto"/>
    </w:pPr>
    <w:tblPr>
      <w:tbl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insideH w:val="single" w:color="DADADA" w:themeColor="accent3" w:themeTint="67" w:sz="4" w:space="0"/>
        <w:insideV w:val="single" w:color="DADADA" w:themeColor="accent3" w:themeTint="67" w:sz="4" w:space="0"/>
      </w:tblBorders>
    </w:tblPr>
    <w:tblStylePr w:type="firstRow">
      <w:rPr>
        <w:rFonts w:ascii="Arial" w:hAnsi="Arial"/>
        <w:color w:val="404040"/>
        <w:sz w:val="22"/>
      </w:rPr>
      <w:tcPr>
        <w:tcBorders>
          <w:bottom w:val="single" w:color="C9C9C9" w:themeColor="accent3" w:themeTint="98" w:sz="12" w:space="0"/>
        </w:tcBorders>
      </w:tcPr>
    </w:tblStylePr>
    <w:tblStylePr w:type="lastRow">
      <w:rPr>
        <w:rFonts w:ascii="Arial" w:hAnsi="Arial"/>
        <w:color w:val="404040"/>
        <w:sz w:val="22"/>
      </w:rPr>
      <w:tcPr>
        <w:tcBorders>
          <w:top w:val="single" w:color="C9C9C9" w:themeColor="accent3" w:themeTint="98"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C9C9C9" w:themeColor="accent3" w:themeTint="98" w:sz="12" w:space="0"/>
        </w:tcBorders>
      </w:tcPr>
    </w:tblStylePr>
    <w:tblStylePr w:type="band1Vert"/>
    <w:tblStylePr w:type="band2Vert"/>
    <w:tblStylePr w:type="band1Horz">
      <w:rPr>
        <w:rFonts w:ascii="Arial" w:hAnsi="Arial"/>
        <w:color w:val="404040"/>
        <w:sz w:val="22"/>
      </w:rPr>
      <w:tcPr>
        <w:tc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tcBorders>
      </w:tcPr>
    </w:tblStylePr>
    <w:tblStylePr w:type="band2Horz"/>
    <w:tblStylePr w:type="neCell"/>
    <w:tblStylePr w:type="nwCell"/>
    <w:tblStylePr w:type="seCell"/>
    <w:tblStylePr w:type="swCell"/>
  </w:style>
  <w:style w:type="table" w:customStyle="1" w:styleId="159">
    <w:name w:val="Bordered - Accent 4"/>
    <w:basedOn w:val="3"/>
    <w:qFormat/>
    <w:uiPriority w:val="99"/>
    <w:pPr>
      <w:spacing w:after="0" w:line="240" w:lineRule="auto"/>
    </w:pPr>
    <w:tblPr>
      <w:tblBorders>
        <w:top w:val="single" w:color="FFE597" w:themeColor="accent4" w:themeTint="67" w:sz="4" w:space="0"/>
        <w:left w:val="single" w:color="FFE597" w:themeColor="accent4" w:themeTint="67" w:sz="4" w:space="0"/>
        <w:bottom w:val="single" w:color="FFE597" w:themeColor="accent4" w:themeTint="67" w:sz="4" w:space="0"/>
        <w:right w:val="single" w:color="FFE597" w:themeColor="accent4" w:themeTint="67" w:sz="4" w:space="0"/>
        <w:insideH w:val="single" w:color="FFE597" w:themeColor="accent4" w:themeTint="67" w:sz="4" w:space="0"/>
        <w:insideV w:val="single" w:color="FFE597" w:themeColor="accent4" w:themeTint="67" w:sz="4" w:space="0"/>
      </w:tblBorders>
    </w:tblPr>
    <w:tblStylePr w:type="firstRow">
      <w:rPr>
        <w:rFonts w:ascii="Arial" w:hAnsi="Arial"/>
        <w:color w:val="404040"/>
        <w:sz w:val="22"/>
      </w:rPr>
      <w:tcPr>
        <w:tcBorders>
          <w:bottom w:val="single" w:color="FFD864" w:themeColor="accent4" w:themeTint="9A" w:sz="12" w:space="0"/>
        </w:tcBorders>
      </w:tcPr>
    </w:tblStylePr>
    <w:tblStylePr w:type="lastRow">
      <w:rPr>
        <w:rFonts w:ascii="Arial" w:hAnsi="Arial"/>
        <w:color w:val="404040"/>
        <w:sz w:val="22"/>
      </w:rPr>
      <w:tcPr>
        <w:tcBorders>
          <w:top w:val="single" w:color="FFD864" w:themeColor="accent4" w:themeTint="9A"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FFD864" w:themeColor="accent4" w:themeTint="9A" w:sz="12" w:space="0"/>
        </w:tcBorders>
      </w:tcPr>
    </w:tblStylePr>
    <w:tblStylePr w:type="band1Vert"/>
    <w:tblStylePr w:type="band2Vert"/>
    <w:tblStylePr w:type="band1Horz">
      <w:rPr>
        <w:rFonts w:ascii="Arial" w:hAnsi="Arial"/>
        <w:color w:val="404040"/>
        <w:sz w:val="22"/>
      </w:rPr>
      <w:tcPr>
        <w:tcBorders>
          <w:top w:val="single" w:color="FFE597" w:themeColor="accent4" w:themeTint="67" w:sz="4" w:space="0"/>
          <w:left w:val="single" w:color="FFE597" w:themeColor="accent4" w:themeTint="67" w:sz="4" w:space="0"/>
          <w:bottom w:val="single" w:color="FFE597" w:themeColor="accent4" w:themeTint="67" w:sz="4" w:space="0"/>
          <w:right w:val="single" w:color="FFE597" w:themeColor="accent4" w:themeTint="67" w:sz="4" w:space="0"/>
        </w:tcBorders>
      </w:tcPr>
    </w:tblStylePr>
    <w:tblStylePr w:type="band2Horz"/>
    <w:tblStylePr w:type="neCell"/>
    <w:tblStylePr w:type="nwCell"/>
    <w:tblStylePr w:type="seCell"/>
    <w:tblStylePr w:type="swCell"/>
  </w:style>
  <w:style w:type="table" w:customStyle="1" w:styleId="160">
    <w:name w:val="Bordered - Accent 5"/>
    <w:basedOn w:val="3"/>
    <w:qFormat/>
    <w:uiPriority w:val="99"/>
    <w:pPr>
      <w:spacing w:after="0" w:line="240" w:lineRule="auto"/>
    </w:pPr>
    <w:tblPr>
      <w:tblBorders>
        <w:top w:val="single" w:color="B3C6E7" w:themeColor="accent5" w:themeTint="67" w:sz="4" w:space="0"/>
        <w:left w:val="single" w:color="B3C6E7" w:themeColor="accent5" w:themeTint="67" w:sz="4" w:space="0"/>
        <w:bottom w:val="single" w:color="B3C6E7" w:themeColor="accent5" w:themeTint="67" w:sz="4" w:space="0"/>
        <w:right w:val="single" w:color="B3C6E7" w:themeColor="accent5" w:themeTint="67" w:sz="4" w:space="0"/>
        <w:insideH w:val="single" w:color="B3C6E7" w:themeColor="accent5" w:themeTint="67" w:sz="4" w:space="0"/>
        <w:insideV w:val="single" w:color="B3C6E7" w:themeColor="accent5" w:themeTint="67" w:sz="4" w:space="0"/>
      </w:tblBorders>
    </w:tblPr>
    <w:tblStylePr w:type="firstRow">
      <w:rPr>
        <w:rFonts w:ascii="Arial" w:hAnsi="Arial"/>
        <w:color w:val="404040"/>
        <w:sz w:val="22"/>
      </w:rPr>
      <w:tcPr>
        <w:tcBorders>
          <w:bottom w:val="single" w:color="8EA9DB" w:themeColor="accent5" w:themeTint="9A" w:sz="12" w:space="0"/>
        </w:tcBorders>
      </w:tcPr>
    </w:tblStylePr>
    <w:tblStylePr w:type="lastRow">
      <w:rPr>
        <w:rFonts w:ascii="Arial" w:hAnsi="Arial"/>
        <w:color w:val="404040"/>
        <w:sz w:val="22"/>
      </w:rPr>
      <w:tcPr>
        <w:tcBorders>
          <w:top w:val="single" w:color="8EA9DB" w:themeColor="accent5" w:themeTint="9A"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8EA9DB" w:themeColor="accent5" w:themeTint="9A" w:sz="12" w:space="0"/>
        </w:tcBorders>
      </w:tcPr>
    </w:tblStylePr>
    <w:tblStylePr w:type="band1Vert"/>
    <w:tblStylePr w:type="band2Vert"/>
    <w:tblStylePr w:type="band1Horz">
      <w:rPr>
        <w:rFonts w:ascii="Arial" w:hAnsi="Arial"/>
        <w:color w:val="404040"/>
        <w:sz w:val="22"/>
      </w:rPr>
      <w:tcPr>
        <w:tcBorders>
          <w:top w:val="single" w:color="B3C6E7" w:themeColor="accent5" w:themeTint="67" w:sz="4" w:space="0"/>
          <w:left w:val="single" w:color="B3C6E7" w:themeColor="accent5" w:themeTint="67" w:sz="4" w:space="0"/>
          <w:bottom w:val="single" w:color="B3C6E7" w:themeColor="accent5" w:themeTint="67" w:sz="4" w:space="0"/>
          <w:right w:val="single" w:color="B3C6E7" w:themeColor="accent5" w:themeTint="67" w:sz="4" w:space="0"/>
        </w:tcBorders>
      </w:tcPr>
    </w:tblStylePr>
    <w:tblStylePr w:type="band2Horz"/>
    <w:tblStylePr w:type="neCell"/>
    <w:tblStylePr w:type="nwCell"/>
    <w:tblStylePr w:type="seCell"/>
    <w:tblStylePr w:type="swCell"/>
  </w:style>
  <w:style w:type="table" w:customStyle="1" w:styleId="161">
    <w:name w:val="Bordered - Accent 6"/>
    <w:basedOn w:val="3"/>
    <w:qFormat/>
    <w:uiPriority w:val="99"/>
    <w:pPr>
      <w:spacing w:after="0" w:line="240" w:lineRule="auto"/>
    </w:pPr>
    <w:tblPr>
      <w:tbl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insideH w:val="single" w:color="C4DFB2" w:themeColor="accent6" w:themeTint="67" w:sz="4" w:space="0"/>
        <w:insideV w:val="single" w:color="C4DFB2" w:themeColor="accent6" w:themeTint="67" w:sz="4" w:space="0"/>
      </w:tblBorders>
    </w:tblPr>
    <w:tblStylePr w:type="firstRow">
      <w:rPr>
        <w:rFonts w:ascii="Arial" w:hAnsi="Arial"/>
        <w:color w:val="404040"/>
        <w:sz w:val="22"/>
      </w:rPr>
      <w:tcPr>
        <w:tcBorders>
          <w:bottom w:val="single" w:color="A9D08E" w:themeColor="accent6" w:themeTint="98" w:sz="12" w:space="0"/>
        </w:tcBorders>
      </w:tcPr>
    </w:tblStylePr>
    <w:tblStylePr w:type="lastRow">
      <w:rPr>
        <w:rFonts w:ascii="Arial" w:hAnsi="Arial"/>
        <w:color w:val="404040"/>
        <w:sz w:val="22"/>
      </w:rPr>
      <w:tcPr>
        <w:tcBorders>
          <w:top w:val="single" w:color="A9D08E" w:themeColor="accent6" w:themeTint="98"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A9D08E" w:themeColor="accent6" w:themeTint="98" w:sz="12" w:space="0"/>
        </w:tcBorders>
      </w:tcPr>
    </w:tblStylePr>
    <w:tblStylePr w:type="band1Vert"/>
    <w:tblStylePr w:type="band2Vert"/>
    <w:tblStylePr w:type="band1Horz">
      <w:rPr>
        <w:rFonts w:ascii="Arial" w:hAnsi="Arial"/>
        <w:color w:val="404040"/>
        <w:sz w:val="22"/>
      </w:rPr>
      <w:tcPr>
        <w:tc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tcBorders>
      </w:tcPr>
    </w:tblStylePr>
    <w:tblStylePr w:type="band2Horz"/>
    <w:tblStylePr w:type="neCell"/>
    <w:tblStylePr w:type="nwCell"/>
    <w:tblStylePr w:type="seCell"/>
    <w:tblStylePr w:type="swCell"/>
  </w:style>
  <w:style w:type="character" w:customStyle="1" w:styleId="162">
    <w:name w:val="Heading 1 Char"/>
    <w:basedOn w:val="30"/>
    <w:qFormat/>
    <w:uiPriority w:val="9"/>
    <w:rPr>
      <w:rFonts w:ascii="Arial" w:hAnsi="Arial" w:eastAsia="Arial" w:cs="Arial"/>
      <w:color w:val="2E75B6" w:themeColor="accent1" w:themeShade="BF"/>
      <w:sz w:val="40"/>
      <w:szCs w:val="40"/>
    </w:rPr>
  </w:style>
  <w:style w:type="character" w:customStyle="1" w:styleId="163">
    <w:name w:val="Heading 2 Char"/>
    <w:basedOn w:val="30"/>
    <w:qFormat/>
    <w:uiPriority w:val="9"/>
    <w:rPr>
      <w:rFonts w:ascii="Arial" w:hAnsi="Arial" w:eastAsia="Arial" w:cs="Arial"/>
      <w:color w:val="2E75B6" w:themeColor="accent1" w:themeShade="BF"/>
      <w:sz w:val="32"/>
      <w:szCs w:val="32"/>
    </w:rPr>
  </w:style>
  <w:style w:type="character" w:customStyle="1" w:styleId="164">
    <w:name w:val="Heading 3 Char"/>
    <w:basedOn w:val="30"/>
    <w:qFormat/>
    <w:uiPriority w:val="9"/>
    <w:rPr>
      <w:rFonts w:ascii="Arial" w:hAnsi="Arial" w:eastAsia="Arial" w:cs="Arial"/>
      <w:color w:val="2E75B6" w:themeColor="accent1" w:themeShade="BF"/>
      <w:sz w:val="28"/>
      <w:szCs w:val="28"/>
    </w:rPr>
  </w:style>
  <w:style w:type="character" w:customStyle="1" w:styleId="165">
    <w:name w:val="Heading 4 Char"/>
    <w:basedOn w:val="30"/>
    <w:link w:val="7"/>
    <w:qFormat/>
    <w:uiPriority w:val="9"/>
    <w:rPr>
      <w:rFonts w:ascii="Arial" w:hAnsi="Arial" w:eastAsia="Arial" w:cs="Arial"/>
      <w:i/>
      <w:iCs/>
      <w:color w:val="2E75B6" w:themeColor="accent1" w:themeShade="BF"/>
    </w:rPr>
  </w:style>
  <w:style w:type="character" w:customStyle="1" w:styleId="166">
    <w:name w:val="Heading 5 Char"/>
    <w:basedOn w:val="30"/>
    <w:link w:val="8"/>
    <w:qFormat/>
    <w:uiPriority w:val="9"/>
    <w:rPr>
      <w:rFonts w:ascii="Arial" w:hAnsi="Arial" w:eastAsia="Arial" w:cs="Arial"/>
      <w:color w:val="2E75B6" w:themeColor="accent1" w:themeShade="BF"/>
    </w:rPr>
  </w:style>
  <w:style w:type="character" w:customStyle="1" w:styleId="167">
    <w:name w:val="Heading 6 Char"/>
    <w:basedOn w:val="30"/>
    <w:link w:val="9"/>
    <w:qFormat/>
    <w:uiPriority w:val="9"/>
    <w:rPr>
      <w:rFonts w:ascii="Arial" w:hAnsi="Arial" w:eastAsia="Arial" w:cs="Arial"/>
      <w:i/>
      <w:iCs/>
      <w:color w:val="595959" w:themeColor="text1" w:themeTint="A6"/>
      <w14:textFill>
        <w14:solidFill>
          <w14:schemeClr w14:val="tx1">
            <w14:lumMod w14:val="65000"/>
            <w14:lumOff w14:val="35000"/>
          </w14:schemeClr>
        </w14:solidFill>
      </w14:textFill>
    </w:rPr>
  </w:style>
  <w:style w:type="character" w:customStyle="1" w:styleId="168">
    <w:name w:val="Heading 7 Char"/>
    <w:basedOn w:val="30"/>
    <w:link w:val="10"/>
    <w:qFormat/>
    <w:uiPriority w:val="9"/>
    <w:rPr>
      <w:rFonts w:ascii="Arial" w:hAnsi="Arial" w:eastAsia="Arial" w:cs="Arial"/>
      <w:color w:val="595959" w:themeColor="text1" w:themeTint="A6"/>
      <w14:textFill>
        <w14:solidFill>
          <w14:schemeClr w14:val="tx1">
            <w14:lumMod w14:val="65000"/>
            <w14:lumOff w14:val="35000"/>
          </w14:schemeClr>
        </w14:solidFill>
      </w14:textFill>
    </w:rPr>
  </w:style>
  <w:style w:type="character" w:customStyle="1" w:styleId="169">
    <w:name w:val="Heading 8 Char"/>
    <w:basedOn w:val="30"/>
    <w:link w:val="11"/>
    <w:qFormat/>
    <w:uiPriority w:val="9"/>
    <w:rPr>
      <w:rFonts w:ascii="Arial" w:hAnsi="Arial" w:eastAsia="Arial" w:cs="Arial"/>
      <w:i/>
      <w:iCs/>
      <w:color w:val="262626" w:themeColor="text1" w:themeTint="D9"/>
      <w14:textFill>
        <w14:solidFill>
          <w14:schemeClr w14:val="tx1">
            <w14:lumMod w14:val="85000"/>
            <w14:lumOff w14:val="15000"/>
          </w14:schemeClr>
        </w14:solidFill>
      </w14:textFill>
    </w:rPr>
  </w:style>
  <w:style w:type="character" w:customStyle="1" w:styleId="170">
    <w:name w:val="Heading 9 Char"/>
    <w:basedOn w:val="30"/>
    <w:link w:val="12"/>
    <w:qFormat/>
    <w:uiPriority w:val="9"/>
    <w:rPr>
      <w:rFonts w:ascii="Arial" w:hAnsi="Arial" w:eastAsia="Arial" w:cs="Arial"/>
      <w:i/>
      <w:iCs/>
      <w:color w:val="262626" w:themeColor="text1" w:themeTint="D9"/>
      <w14:textFill>
        <w14:solidFill>
          <w14:schemeClr w14:val="tx1">
            <w14:lumMod w14:val="85000"/>
            <w14:lumOff w14:val="15000"/>
          </w14:schemeClr>
        </w14:solidFill>
      </w14:textFill>
    </w:rPr>
  </w:style>
  <w:style w:type="character" w:customStyle="1" w:styleId="171">
    <w:name w:val="Title Char"/>
    <w:basedOn w:val="30"/>
    <w:qFormat/>
    <w:uiPriority w:val="10"/>
    <w:rPr>
      <w:rFonts w:ascii="Arial" w:hAnsi="Arial" w:eastAsia="Arial" w:cs="Arial"/>
      <w:spacing w:val="-10"/>
      <w:sz w:val="56"/>
      <w:szCs w:val="56"/>
    </w:rPr>
  </w:style>
  <w:style w:type="character" w:customStyle="1" w:styleId="172">
    <w:name w:val="Subtitle Char"/>
    <w:basedOn w:val="30"/>
    <w:qFormat/>
    <w:uiPriority w:val="11"/>
    <w:rPr>
      <w:color w:val="595959" w:themeColor="text1" w:themeTint="A6"/>
      <w:spacing w:val="15"/>
      <w:sz w:val="28"/>
      <w:szCs w:val="28"/>
      <w14:textFill>
        <w14:solidFill>
          <w14:schemeClr w14:val="tx1">
            <w14:lumMod w14:val="65000"/>
            <w14:lumOff w14:val="35000"/>
          </w14:schemeClr>
        </w14:solidFill>
      </w14:textFill>
    </w:rPr>
  </w:style>
  <w:style w:type="paragraph" w:styleId="173">
    <w:name w:val="Quote"/>
    <w:basedOn w:val="1"/>
    <w:next w:val="1"/>
    <w:qFormat/>
    <w:uiPriority w:val="29"/>
    <w:pPr>
      <w:spacing w:before="160"/>
      <w:jc w:val="center"/>
    </w:pPr>
    <w:rPr>
      <w:i/>
      <w:iCs/>
      <w:color w:val="404040" w:themeColor="text1" w:themeTint="BF"/>
      <w14:textFill>
        <w14:solidFill>
          <w14:schemeClr w14:val="tx1">
            <w14:lumMod w14:val="75000"/>
            <w14:lumOff w14:val="25000"/>
          </w14:schemeClr>
        </w14:solidFill>
      </w14:textFill>
    </w:rPr>
  </w:style>
  <w:style w:type="character" w:customStyle="1" w:styleId="174">
    <w:name w:val="Quote Char"/>
    <w:basedOn w:val="30"/>
    <w:qFormat/>
    <w:uiPriority w:val="29"/>
    <w:rPr>
      <w:i/>
      <w:iCs/>
      <w:color w:val="404040" w:themeColor="text1" w:themeTint="BF"/>
      <w14:textFill>
        <w14:solidFill>
          <w14:schemeClr w14:val="tx1">
            <w14:lumMod w14:val="75000"/>
            <w14:lumOff w14:val="25000"/>
          </w14:schemeClr>
        </w14:solidFill>
      </w14:textFill>
    </w:rPr>
  </w:style>
  <w:style w:type="character" w:customStyle="1" w:styleId="175">
    <w:name w:val="Intense Emphasis"/>
    <w:basedOn w:val="30"/>
    <w:qFormat/>
    <w:uiPriority w:val="21"/>
    <w:rPr>
      <w:i/>
      <w:iCs/>
      <w:color w:val="2E75B6" w:themeColor="accent1" w:themeShade="BF"/>
    </w:rPr>
  </w:style>
  <w:style w:type="paragraph" w:styleId="176">
    <w:name w:val="Intense Quote"/>
    <w:basedOn w:val="1"/>
    <w:next w:val="1"/>
    <w:qFormat/>
    <w:uiPriority w:val="30"/>
    <w:pPr>
      <w:pBdr>
        <w:top w:val="single" w:color="2E75B5" w:themeColor="accent1" w:themeShade="BF" w:sz="4" w:space="10"/>
        <w:bottom w:val="single" w:color="2E75B5" w:themeColor="accent1" w:themeShade="BF" w:sz="4" w:space="10"/>
      </w:pBdr>
      <w:spacing w:before="360" w:after="360"/>
      <w:ind w:left="864" w:right="864"/>
      <w:jc w:val="center"/>
    </w:pPr>
    <w:rPr>
      <w:i/>
      <w:iCs/>
      <w:color w:val="2E75B6" w:themeColor="accent1" w:themeShade="BF"/>
    </w:rPr>
  </w:style>
  <w:style w:type="character" w:customStyle="1" w:styleId="177">
    <w:name w:val="Intense Quote Char"/>
    <w:basedOn w:val="30"/>
    <w:qFormat/>
    <w:uiPriority w:val="30"/>
    <w:rPr>
      <w:i/>
      <w:iCs/>
      <w:color w:val="2E75B6" w:themeColor="accent1" w:themeShade="BF"/>
    </w:rPr>
  </w:style>
  <w:style w:type="character" w:customStyle="1" w:styleId="178">
    <w:name w:val="Intense Reference"/>
    <w:basedOn w:val="30"/>
    <w:qFormat/>
    <w:uiPriority w:val="32"/>
    <w:rPr>
      <w:b/>
      <w:bCs/>
      <w:smallCaps/>
      <w:color w:val="2E75B6" w:themeColor="accent1" w:themeShade="BF"/>
      <w:spacing w:val="5"/>
    </w:rPr>
  </w:style>
  <w:style w:type="paragraph" w:styleId="179">
    <w:name w:val="No Spacing"/>
    <w:basedOn w:val="1"/>
    <w:qFormat/>
    <w:uiPriority w:val="1"/>
    <w:pPr>
      <w:spacing w:after="0" w:line="240" w:lineRule="auto"/>
    </w:pPr>
  </w:style>
  <w:style w:type="character" w:customStyle="1" w:styleId="180">
    <w:name w:val="Subtle Emphasis"/>
    <w:basedOn w:val="30"/>
    <w:qFormat/>
    <w:uiPriority w:val="19"/>
    <w:rPr>
      <w:i/>
      <w:iCs/>
      <w:color w:val="404040" w:themeColor="text1" w:themeTint="BF"/>
      <w14:textFill>
        <w14:solidFill>
          <w14:schemeClr w14:val="tx1">
            <w14:lumMod w14:val="75000"/>
            <w14:lumOff w14:val="25000"/>
          </w14:schemeClr>
        </w14:solidFill>
      </w14:textFill>
    </w:rPr>
  </w:style>
  <w:style w:type="character" w:customStyle="1" w:styleId="181">
    <w:name w:val="Subtle Reference"/>
    <w:basedOn w:val="30"/>
    <w:qFormat/>
    <w:uiPriority w:val="31"/>
    <w:rPr>
      <w:smallCaps/>
      <w:color w:val="595959" w:themeColor="text1" w:themeTint="A6"/>
      <w14:textFill>
        <w14:solidFill>
          <w14:schemeClr w14:val="tx1">
            <w14:lumMod w14:val="65000"/>
            <w14:lumOff w14:val="35000"/>
          </w14:schemeClr>
        </w14:solidFill>
      </w14:textFill>
    </w:rPr>
  </w:style>
  <w:style w:type="character" w:customStyle="1" w:styleId="182">
    <w:name w:val="Book Title"/>
    <w:basedOn w:val="30"/>
    <w:qFormat/>
    <w:uiPriority w:val="33"/>
    <w:rPr>
      <w:b/>
      <w:bCs/>
      <w:i/>
      <w:iCs/>
      <w:spacing w:val="5"/>
    </w:rPr>
  </w:style>
  <w:style w:type="character" w:customStyle="1" w:styleId="183">
    <w:name w:val="Header Char"/>
    <w:basedOn w:val="30"/>
    <w:qFormat/>
    <w:uiPriority w:val="99"/>
  </w:style>
  <w:style w:type="character" w:customStyle="1" w:styleId="184">
    <w:name w:val="Footer Char"/>
    <w:basedOn w:val="30"/>
    <w:qFormat/>
    <w:uiPriority w:val="99"/>
  </w:style>
  <w:style w:type="character" w:customStyle="1" w:styleId="185">
    <w:name w:val="Footnote Text Char"/>
    <w:basedOn w:val="30"/>
    <w:semiHidden/>
    <w:qFormat/>
    <w:uiPriority w:val="99"/>
    <w:rPr>
      <w:sz w:val="20"/>
      <w:szCs w:val="20"/>
    </w:rPr>
  </w:style>
  <w:style w:type="character" w:customStyle="1" w:styleId="186">
    <w:name w:val="Endnote Text Char"/>
    <w:basedOn w:val="30"/>
    <w:semiHidden/>
    <w:qFormat/>
    <w:uiPriority w:val="99"/>
    <w:rPr>
      <w:sz w:val="20"/>
      <w:szCs w:val="20"/>
    </w:rPr>
  </w:style>
  <w:style w:type="paragraph" w:customStyle="1" w:styleId="187">
    <w:name w:val="TOC Heading"/>
    <w:unhideWhenUsed/>
    <w:qFormat/>
    <w:uiPriority w:val="39"/>
    <w:rPr>
      <w:rFonts w:hint="default" w:ascii="Times New Roman" w:hAnsi="Times New Roman" w:eastAsia="宋体" w:cs="Times New Roman"/>
    </w:rPr>
  </w:style>
  <w:style w:type="character" w:customStyle="1" w:styleId="188">
    <w:name w:val="批注文字 字符"/>
    <w:qFormat/>
    <w:uiPriority w:val="99"/>
    <w:rPr>
      <w:rFonts w:ascii="Times New Roman" w:hAnsi="Times New Roman" w:eastAsia="宋体" w:cs="Times New Roman"/>
    </w:rPr>
  </w:style>
  <w:style w:type="character" w:customStyle="1" w:styleId="189">
    <w:name w:val="标题 3 字符"/>
    <w:qFormat/>
    <w:uiPriority w:val="1"/>
    <w:rPr>
      <w:rFonts w:ascii="宋体" w:hAnsi="Times New Roman" w:eastAsia="宋体" w:cs="Times New Roman"/>
      <w:b/>
      <w:bCs/>
      <w:sz w:val="20"/>
      <w:szCs w:val="21"/>
    </w:rPr>
  </w:style>
  <w:style w:type="character" w:customStyle="1" w:styleId="190">
    <w:name w:val="脚注文本 字符1"/>
    <w:semiHidden/>
    <w:qFormat/>
    <w:uiPriority w:val="99"/>
    <w:rPr>
      <w:rFonts w:ascii="Times New Roman" w:hAnsi="Times New Roman" w:eastAsia="宋体" w:cs="Times New Roman"/>
      <w:sz w:val="18"/>
      <w:szCs w:val="18"/>
    </w:rPr>
  </w:style>
  <w:style w:type="character" w:customStyle="1" w:styleId="191">
    <w:name w:val="标题 2 字符"/>
    <w:qFormat/>
    <w:uiPriority w:val="9"/>
    <w:rPr>
      <w:rFonts w:ascii="Cambria" w:hAnsi="Cambria" w:eastAsia="宋体" w:cs="Times New Roman"/>
      <w:b/>
      <w:bCs/>
      <w:sz w:val="32"/>
      <w:szCs w:val="32"/>
    </w:rPr>
  </w:style>
  <w:style w:type="character" w:customStyle="1" w:styleId="192">
    <w:name w:val="正文文本 字符"/>
    <w:qFormat/>
    <w:uiPriority w:val="1"/>
    <w:rPr>
      <w:rFonts w:ascii="宋体" w:hAnsi="Times New Roman" w:eastAsia="宋体" w:cs="Times New Roman"/>
      <w:sz w:val="20"/>
      <w:szCs w:val="21"/>
    </w:rPr>
  </w:style>
  <w:style w:type="character" w:customStyle="1" w:styleId="193">
    <w:name w:val="脚注文本 字符"/>
    <w:semiHidden/>
    <w:qFormat/>
    <w:uiPriority w:val="99"/>
    <w:rPr>
      <w:rFonts w:ascii="Times New Roman" w:hAnsi="Times New Roman" w:eastAsia="宋体" w:cs="Times New Roman"/>
      <w:sz w:val="18"/>
      <w:szCs w:val="18"/>
    </w:rPr>
  </w:style>
  <w:style w:type="character" w:customStyle="1" w:styleId="194">
    <w:name w:val="批注主题 字符"/>
    <w:semiHidden/>
    <w:qFormat/>
    <w:uiPriority w:val="99"/>
    <w:rPr>
      <w:rFonts w:ascii="Times New Roman" w:hAnsi="Times New Roman" w:eastAsia="宋体" w:cs="Times New Roman"/>
      <w:b/>
      <w:bCs/>
    </w:rPr>
  </w:style>
  <w:style w:type="character" w:customStyle="1" w:styleId="195">
    <w:name w:val="日期 字符"/>
    <w:basedOn w:val="30"/>
    <w:semiHidden/>
    <w:qFormat/>
    <w:uiPriority w:val="99"/>
    <w:rPr>
      <w:rFonts w:ascii="Times New Roman" w:hAnsi="Times New Roman" w:eastAsia="宋体" w:cs="Times New Roman"/>
    </w:rPr>
  </w:style>
  <w:style w:type="character" w:customStyle="1" w:styleId="196">
    <w:name w:val="标题 1 字符"/>
    <w:qFormat/>
    <w:uiPriority w:val="1"/>
    <w:rPr>
      <w:rFonts w:ascii="黑体" w:hAnsi="Times New Roman" w:eastAsia="黑体" w:cs="Times New Roman"/>
      <w:b/>
      <w:bCs/>
      <w:sz w:val="36"/>
      <w:szCs w:val="36"/>
    </w:rPr>
  </w:style>
  <w:style w:type="character" w:customStyle="1" w:styleId="197">
    <w:name w:val="页脚 字符"/>
    <w:qFormat/>
    <w:uiPriority w:val="99"/>
    <w:rPr>
      <w:rFonts w:ascii="Times New Roman" w:hAnsi="Times New Roman" w:eastAsia="宋体" w:cs="Times New Roman"/>
      <w:sz w:val="18"/>
      <w:szCs w:val="18"/>
    </w:rPr>
  </w:style>
  <w:style w:type="character" w:customStyle="1" w:styleId="198">
    <w:name w:val="页眉 字符"/>
    <w:qFormat/>
    <w:uiPriority w:val="99"/>
    <w:rPr>
      <w:rFonts w:ascii="Times New Roman" w:hAnsi="Times New Roman" w:eastAsia="宋体" w:cs="Times New Roman"/>
      <w:sz w:val="18"/>
      <w:szCs w:val="18"/>
    </w:rPr>
  </w:style>
  <w:style w:type="character" w:customStyle="1" w:styleId="199">
    <w:name w:val="批注框文本 字符"/>
    <w:semiHidden/>
    <w:qFormat/>
    <w:uiPriority w:val="99"/>
    <w:rPr>
      <w:rFonts w:ascii="Times New Roman" w:hAnsi="Times New Roman" w:eastAsia="宋体" w:cs="Times New Roman"/>
      <w:sz w:val="18"/>
      <w:szCs w:val="18"/>
    </w:rPr>
  </w:style>
  <w:style w:type="paragraph" w:customStyle="1" w:styleId="200">
    <w:name w:val="Table Paragraph"/>
    <w:basedOn w:val="1"/>
    <w:qFormat/>
    <w:uiPriority w:val="1"/>
    <w:pPr>
      <w:jc w:val="left"/>
    </w:pPr>
    <w:rPr>
      <w:sz w:val="24"/>
      <w:szCs w:val="24"/>
    </w:rPr>
  </w:style>
  <w:style w:type="paragraph" w:customStyle="1" w:styleId="201">
    <w:name w:val="Default"/>
    <w:qFormat/>
    <w:uiPriority w:val="0"/>
    <w:pPr>
      <w:widowControl w:val="0"/>
    </w:pPr>
    <w:rPr>
      <w:rFonts w:hint="default" w:ascii="宋体" w:hAnsi="宋体" w:eastAsia="宋体" w:cs="宋体"/>
      <w:color w:val="000000"/>
      <w:sz w:val="24"/>
      <w:szCs w:val="24"/>
      <w:lang w:val="en-US" w:eastAsia="zh-CN" w:bidi="ar-SA"/>
    </w:rPr>
  </w:style>
  <w:style w:type="paragraph" w:styleId="202">
    <w:name w:val="List Paragraph"/>
    <w:basedOn w:val="1"/>
    <w:qFormat/>
    <w:uiPriority w:val="72"/>
    <w:pPr>
      <w:ind w:firstLine="420"/>
    </w:pPr>
  </w:style>
  <w:style w:type="paragraph" w:customStyle="1" w:styleId="203">
    <w:name w:val="_Style 36"/>
    <w:semiHidden/>
    <w:qFormat/>
    <w:uiPriority w:val="99"/>
    <w:rPr>
      <w:rFonts w:hint="default" w:ascii="Times New Roman" w:hAnsi="Times New Roman" w:eastAsia="宋体" w:cs="Times New Roman"/>
      <w:sz w:val="21"/>
      <w:szCs w:val="22"/>
      <w:lang w:val="en-US" w:eastAsia="zh-CN" w:bidi="ar-SA"/>
    </w:rPr>
  </w:style>
  <w:style w:type="character" w:customStyle="1" w:styleId="204">
    <w:name w:val="标题 1 字符1"/>
    <w:link w:val="4"/>
    <w:qFormat/>
    <w:uiPriority w:val="1"/>
    <w:rPr>
      <w:rFonts w:ascii="黑体" w:hAnsi="Times New Roman" w:eastAsia="黑体" w:cs="黑体"/>
      <w:b/>
      <w:bCs/>
      <w:sz w:val="36"/>
      <w:szCs w:val="36"/>
    </w:rPr>
  </w:style>
  <w:style w:type="character" w:customStyle="1" w:styleId="205">
    <w:name w:val="标题 2 字符1"/>
    <w:link w:val="5"/>
    <w:qFormat/>
    <w:uiPriority w:val="9"/>
    <w:rPr>
      <w:rFonts w:ascii="Cambria" w:hAnsi="Cambria" w:eastAsia="宋体" w:cs="Times New Roman"/>
      <w:b/>
      <w:bCs/>
      <w:sz w:val="32"/>
      <w:szCs w:val="32"/>
    </w:rPr>
  </w:style>
  <w:style w:type="character" w:customStyle="1" w:styleId="206">
    <w:name w:val="标题 3 字符1"/>
    <w:link w:val="6"/>
    <w:qFormat/>
    <w:uiPriority w:val="1"/>
    <w:rPr>
      <w:rFonts w:ascii="宋体" w:hAnsi="Times New Roman" w:eastAsia="宋体" w:cs="宋体"/>
      <w:b/>
      <w:bCs/>
      <w:szCs w:val="21"/>
    </w:rPr>
  </w:style>
  <w:style w:type="character" w:customStyle="1" w:styleId="207">
    <w:name w:val="批注文字 字符1"/>
    <w:qFormat/>
    <w:uiPriority w:val="99"/>
    <w:rPr>
      <w:rFonts w:ascii="Times New Roman" w:hAnsi="Times New Roman" w:eastAsia="宋体" w:cs="Times New Roman"/>
      <w:sz w:val="21"/>
      <w:szCs w:val="22"/>
    </w:rPr>
  </w:style>
  <w:style w:type="character" w:customStyle="1" w:styleId="208">
    <w:name w:val="正文文本 字符1"/>
    <w:qFormat/>
    <w:uiPriority w:val="1"/>
    <w:rPr>
      <w:rFonts w:ascii="宋体" w:hAnsi="Times New Roman" w:eastAsia="宋体" w:cs="宋体"/>
      <w:szCs w:val="21"/>
    </w:rPr>
  </w:style>
  <w:style w:type="character" w:customStyle="1" w:styleId="209">
    <w:name w:val="日期 字符1"/>
    <w:basedOn w:val="30"/>
    <w:semiHidden/>
    <w:qFormat/>
    <w:uiPriority w:val="99"/>
    <w:rPr>
      <w:rFonts w:ascii="Times New Roman" w:hAnsi="Times New Roman" w:eastAsia="宋体" w:cs="Times New Roman"/>
    </w:rPr>
  </w:style>
  <w:style w:type="character" w:customStyle="1" w:styleId="210">
    <w:name w:val="批注框文本 字符1"/>
    <w:semiHidden/>
    <w:qFormat/>
    <w:uiPriority w:val="99"/>
    <w:rPr>
      <w:rFonts w:ascii="Times New Roman" w:hAnsi="Times New Roman" w:eastAsia="宋体" w:cs="Times New Roman"/>
      <w:sz w:val="18"/>
      <w:szCs w:val="18"/>
    </w:rPr>
  </w:style>
  <w:style w:type="character" w:customStyle="1" w:styleId="211">
    <w:name w:val="页脚 字符1"/>
    <w:qFormat/>
    <w:uiPriority w:val="99"/>
    <w:rPr>
      <w:rFonts w:ascii="Times New Roman" w:hAnsi="Times New Roman" w:eastAsia="宋体" w:cs="Times New Roman"/>
      <w:sz w:val="18"/>
      <w:szCs w:val="18"/>
    </w:rPr>
  </w:style>
  <w:style w:type="character" w:customStyle="1" w:styleId="212">
    <w:name w:val="页眉 字符1"/>
    <w:qFormat/>
    <w:uiPriority w:val="99"/>
    <w:rPr>
      <w:rFonts w:ascii="Times New Roman" w:hAnsi="Times New Roman" w:eastAsia="宋体" w:cs="Times New Roman"/>
      <w:sz w:val="18"/>
      <w:szCs w:val="18"/>
    </w:rPr>
  </w:style>
  <w:style w:type="character" w:customStyle="1" w:styleId="213">
    <w:name w:val="脚注文本 字符2"/>
    <w:link w:val="27"/>
    <w:semiHidden/>
    <w:qFormat/>
    <w:uiPriority w:val="99"/>
    <w:rPr>
      <w:rFonts w:ascii="Times New Roman" w:hAnsi="Times New Roman" w:eastAsia="宋体" w:cs="Times New Roman"/>
      <w:sz w:val="18"/>
      <w:szCs w:val="18"/>
    </w:rPr>
  </w:style>
  <w:style w:type="character" w:customStyle="1" w:styleId="214">
    <w:name w:val="批注主题 字符1"/>
    <w:semiHidden/>
    <w:qFormat/>
    <w:uiPriority w:val="99"/>
    <w:rPr>
      <w:rFonts w:ascii="Times New Roman" w:hAnsi="Times New Roman" w:eastAsia="宋体" w:cs="Times New Roman"/>
      <w:b/>
      <w:bCs/>
      <w:sz w:val="21"/>
      <w:szCs w:val="22"/>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4.xml"/><Relationship Id="rId11" Type="http://schemas.openxmlformats.org/officeDocument/2006/relationships/customXml" Target="../customXml/item3.xml"/><Relationship Id="rId10" Type="http://schemas.openxmlformats.org/officeDocument/2006/relationships/customXml" Target="../customXml/item2.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3D9DA4FEC1AC4898A5CD8A2776F83D6F</vt:lpwstr>
  </property>
</Properties>
</file>

<file path=customXml/item3.xml><?xml version="1.0" encoding="utf-8"?>
<Properties xmlns="http://schemas.openxmlformats.org/officeDocument/2006/extended-properties" xmlns:vt="http://schemas.openxmlformats.org/officeDocument/2006/docPropsVTypes">
  <Application>onlyoffice/8.1.3.4</Application>
  <DocSecurity>0</DocSecurity>
  <LinksUpToDate>false</LinksUpToDate>
  <ScaleCrop>false</ScaleCrop>
  <Template>Normal</Template>
</Properties>
</file>

<file path=customXml/item4.xml><?xml version="1.0" encoding="utf-8"?>
<cp:coreProperties xmlns:cp="http://schemas.openxmlformats.org/package/2006/metadata/core-properties" xmlns:dc="http://purl.org/dc/elements/1.1/" xmlns:dcterms="http://purl.org/dc/terms/" xmlns:xsi="http://www.w3.org/2001/XMLSchema-instance">
  <dcterms:created xsi:type="dcterms:W3CDTF">2024-05-11T09:26:00Z</dcterms:created>
  <dc:creator>孙伯略</dc:creator>
  <cp:lastModifiedBy>匿名用户</cp:lastModifiedBy>
  <dcterms:modified xsi:type="dcterms:W3CDTF">2026-08-26T10:27:37Z</dcterms:modified>
  <cp:revision>56</cp:revision>
</cp:core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41b5fe9-1d38-403b-a0a8-823ddc68e190}">
  <ds:schemaRefs/>
</ds:datastoreItem>
</file>

<file path=customXml/itemProps3.xml><?xml version="1.0" encoding="utf-8"?>
<ds:datastoreItem xmlns:ds="http://schemas.openxmlformats.org/officeDocument/2006/customXml" ds:itemID="{2b4ba183-bf4f-4ace-a80b-b14f2bcfaf81}">
  <ds:schemaRefs/>
</ds:datastoreItem>
</file>

<file path=customXml/itemProps4.xml><?xml version="1.0" encoding="utf-8"?>
<ds:datastoreItem xmlns:ds="http://schemas.openxmlformats.org/officeDocument/2006/customXml" ds:itemID="{b8ad409f-561b-41de-8026-7abf628eb626}">
  <ds:schemaRefs/>
</ds:datastoreItem>
</file>

<file path=docProps/app.xml><?xml version="1.0" encoding="utf-8"?>
<Properties xmlns="http://schemas.openxmlformats.org/officeDocument/2006/extended-properties" xmlns:vt="http://schemas.openxmlformats.org/officeDocument/2006/docPropsVTypes">
  <Template>Normal</Template>
  <TotalTime>1</TotalTime>
  <ScaleCrop>false</ScaleCrop>
  <LinksUpToDate>false</LinksUpToDate>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2024-05-11T09:26:00Z</dcterms:created>
  <dc:creator>孙伯略</dc:creator>
  <cp:lastModifiedBy>jsyh</cp:lastModifiedBy>
  <dcterms:modified xsi:type="dcterms:W3CDTF">2026-08-27T08:43:02Z</dcterms:modified>
  <cp:revision>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ies>
</file>